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79" w:rsidRDefault="00766479" w:rsidP="00766479">
      <w:pPr>
        <w:rPr>
          <w:rFonts w:ascii="宋体" w:eastAsia="宋体" w:hAnsi="宋体"/>
          <w:color w:val="FF0000"/>
          <w:sz w:val="84"/>
          <w:szCs w:val="84"/>
        </w:rPr>
      </w:pPr>
    </w:p>
    <w:p w:rsidR="00766479" w:rsidRDefault="00766479" w:rsidP="00766479">
      <w:pPr>
        <w:spacing w:line="360" w:lineRule="auto"/>
        <w:jc w:val="center"/>
        <w:rPr>
          <w:rFonts w:ascii="方正小标宋简体" w:eastAsia="方正小标宋简体" w:hAnsi="华文中宋"/>
          <w:color w:val="FF0000"/>
          <w:w w:val="80"/>
          <w:position w:val="-40"/>
          <w:sz w:val="96"/>
          <w:szCs w:val="96"/>
        </w:rPr>
      </w:pPr>
      <w:r w:rsidRPr="00766479">
        <w:rPr>
          <w:rFonts w:ascii="方正小标宋简体" w:eastAsia="方正小标宋简体" w:hAnsi="华文中宋" w:hint="eastAsia"/>
          <w:color w:val="FF0000"/>
          <w:w w:val="80"/>
          <w:position w:val="-40"/>
          <w:sz w:val="96"/>
          <w:szCs w:val="96"/>
        </w:rPr>
        <w:t>新乡医学院三全学院文件</w:t>
      </w:r>
    </w:p>
    <w:p w:rsidR="00766479" w:rsidRDefault="00766479" w:rsidP="00766479">
      <w:pPr>
        <w:adjustRightInd w:val="0"/>
        <w:snapToGrid w:val="0"/>
        <w:spacing w:line="360" w:lineRule="auto"/>
        <w:jc w:val="center"/>
        <w:rPr>
          <w:rFonts w:ascii="仿宋_GB2312" w:cs="仿宋_GB2312"/>
          <w:szCs w:val="32"/>
        </w:rPr>
      </w:pPr>
    </w:p>
    <w:p w:rsidR="00766479" w:rsidRPr="006E2ABD" w:rsidRDefault="005E6BE1" w:rsidP="00766479">
      <w:pPr>
        <w:adjustRightInd w:val="0"/>
        <w:snapToGrid w:val="0"/>
        <w:spacing w:line="360" w:lineRule="auto"/>
        <w:jc w:val="center"/>
        <w:rPr>
          <w:rFonts w:ascii="仿宋_GB2312"/>
          <w:szCs w:val="32"/>
        </w:rPr>
      </w:pPr>
      <w:bookmarkStart w:id="0" w:name="doc_mark"/>
      <w:r>
        <w:rPr>
          <w:rFonts w:ascii="仿宋_GB2312" w:hint="eastAsia"/>
          <w:szCs w:val="32"/>
        </w:rPr>
        <w:t>院发〔2018〕109号</w:t>
      </w:r>
      <w:bookmarkEnd w:id="0"/>
    </w:p>
    <w:p w:rsidR="00E969C2" w:rsidRPr="00E969C2" w:rsidRDefault="007E2D44" w:rsidP="00E969C2">
      <w:pPr>
        <w:adjustRightInd w:val="0"/>
        <w:snapToGrid w:val="0"/>
        <w:spacing w:line="360" w:lineRule="auto"/>
        <w:jc w:val="center"/>
        <w:rPr>
          <w:rFonts w:ascii="仿宋_GB2312"/>
          <w:szCs w:val="32"/>
        </w:rPr>
      </w:pPr>
      <w:r>
        <w:rPr>
          <w:rFonts w:ascii="仿宋_GB2312" w:cs="仿宋_GB2312"/>
          <w:noProof/>
          <w:szCs w:val="32"/>
        </w:rPr>
        <w:pict>
          <v:line id="_x0000_s1040" style="position:absolute;left:0;text-align:left;z-index:251657728;mso-position-horizontal:center" from="0,15.7pt" to="450pt,15.8pt" strokecolor="red" strokeweight="1.5pt"/>
        </w:pict>
      </w:r>
      <w:bookmarkStart w:id="1" w:name="Content"/>
      <w:bookmarkEnd w:id="1"/>
    </w:p>
    <w:p w:rsidR="00E969C2" w:rsidRPr="00E65875" w:rsidRDefault="00E969C2" w:rsidP="00E969C2">
      <w:pPr>
        <w:snapToGrid w:val="0"/>
        <w:jc w:val="center"/>
        <w:rPr>
          <w:rFonts w:ascii="方正小标宋简体" w:eastAsia="方正小标宋简体" w:hAnsi="方正小标宋简体" w:cs="方正小标宋简体"/>
          <w:sz w:val="44"/>
          <w:szCs w:val="44"/>
        </w:rPr>
      </w:pPr>
      <w:r w:rsidRPr="00E65875">
        <w:rPr>
          <w:rFonts w:ascii="方正小标宋简体" w:eastAsia="方正小标宋简体" w:hAnsi="方正小标宋简体" w:cs="方正小标宋简体" w:hint="eastAsia"/>
          <w:sz w:val="44"/>
          <w:szCs w:val="44"/>
        </w:rPr>
        <w:t>关于印发</w:t>
      </w:r>
      <w:proofErr w:type="gramStart"/>
      <w:r w:rsidRPr="00E65875">
        <w:rPr>
          <w:rFonts w:ascii="方正小标宋简体" w:eastAsia="方正小标宋简体" w:hAnsi="方正小标宋简体" w:cs="方正小标宋简体" w:hint="eastAsia"/>
          <w:sz w:val="44"/>
          <w:szCs w:val="44"/>
        </w:rPr>
        <w:t>《</w:t>
      </w:r>
      <w:proofErr w:type="gramEnd"/>
      <w:r w:rsidRPr="00E65875">
        <w:rPr>
          <w:rFonts w:ascii="方正小标宋简体" w:eastAsia="方正小标宋简体" w:hAnsi="方正小标宋简体" w:cs="方正小标宋简体" w:hint="eastAsia"/>
          <w:sz w:val="44"/>
          <w:szCs w:val="44"/>
        </w:rPr>
        <w:t>新乡医学院三全学院</w:t>
      </w:r>
    </w:p>
    <w:p w:rsidR="00E969C2" w:rsidRPr="00E969C2" w:rsidRDefault="00E969C2" w:rsidP="00E969C2">
      <w:pPr>
        <w:tabs>
          <w:tab w:val="left" w:pos="3828"/>
        </w:tabs>
        <w:snapToGrid w:val="0"/>
        <w:jc w:val="center"/>
        <w:rPr>
          <w:rFonts w:ascii="方正小标宋简体" w:eastAsia="方正小标宋简体" w:hAnsi="宋体" w:cs="宋体"/>
          <w:color w:val="000000"/>
          <w:kern w:val="0"/>
          <w:sz w:val="44"/>
          <w:szCs w:val="44"/>
        </w:rPr>
      </w:pPr>
      <w:r w:rsidRPr="007721F5">
        <w:rPr>
          <w:rFonts w:ascii="方正小标宋简体" w:eastAsia="方正小标宋简体" w:hAnsi="宋体" w:cs="宋体" w:hint="eastAsia"/>
          <w:color w:val="000000"/>
          <w:kern w:val="0"/>
          <w:sz w:val="44"/>
          <w:szCs w:val="44"/>
        </w:rPr>
        <w:t>2018-2020</w:t>
      </w:r>
      <w:r>
        <w:rPr>
          <w:rFonts w:ascii="方正小标宋简体" w:eastAsia="方正小标宋简体" w:hAnsi="宋体" w:cs="宋体" w:hint="eastAsia"/>
          <w:color w:val="000000"/>
          <w:kern w:val="0"/>
          <w:sz w:val="44"/>
          <w:szCs w:val="44"/>
        </w:rPr>
        <w:t>年</w:t>
      </w:r>
      <w:r w:rsidRPr="007721F5">
        <w:rPr>
          <w:rFonts w:ascii="方正小标宋简体" w:eastAsia="方正小标宋简体" w:hAnsi="宋体" w:cs="宋体" w:hint="eastAsia"/>
          <w:color w:val="000000"/>
          <w:kern w:val="0"/>
          <w:sz w:val="44"/>
          <w:szCs w:val="44"/>
        </w:rPr>
        <w:t>学科建设发展规划</w:t>
      </w:r>
      <w:proofErr w:type="gramStart"/>
      <w:r w:rsidRPr="00E65875">
        <w:rPr>
          <w:rFonts w:ascii="方正小标宋简体" w:eastAsia="方正小标宋简体" w:hAnsi="方正小标宋简体" w:cs="方正小标宋简体" w:hint="eastAsia"/>
          <w:sz w:val="44"/>
          <w:szCs w:val="44"/>
        </w:rPr>
        <w:t>》</w:t>
      </w:r>
      <w:proofErr w:type="gramEnd"/>
      <w:r w:rsidRPr="00E65875">
        <w:rPr>
          <w:rFonts w:ascii="方正小标宋简体" w:eastAsia="方正小标宋简体" w:hAnsi="方正小标宋简体" w:cs="方正小标宋简体" w:hint="eastAsia"/>
          <w:sz w:val="44"/>
          <w:szCs w:val="44"/>
        </w:rPr>
        <w:t>的通知</w:t>
      </w:r>
    </w:p>
    <w:p w:rsidR="00E969C2" w:rsidRPr="00E65875" w:rsidRDefault="00E969C2" w:rsidP="00E969C2">
      <w:pPr>
        <w:snapToGrid w:val="0"/>
        <w:spacing w:line="360" w:lineRule="auto"/>
        <w:rPr>
          <w:rFonts w:ascii="仿宋_GB2312" w:hAnsi="方正小标宋简体" w:cs="方正小标宋简体"/>
          <w:szCs w:val="32"/>
        </w:rPr>
      </w:pPr>
    </w:p>
    <w:p w:rsidR="00E969C2" w:rsidRPr="00E65875" w:rsidRDefault="00E969C2" w:rsidP="00E969C2">
      <w:pPr>
        <w:snapToGrid w:val="0"/>
        <w:spacing w:line="360" w:lineRule="auto"/>
        <w:rPr>
          <w:rFonts w:ascii="仿宋_GB2312" w:hAnsi="方正小标宋简体" w:cs="方正小标宋简体"/>
          <w:szCs w:val="32"/>
        </w:rPr>
      </w:pPr>
      <w:r w:rsidRPr="00E65875">
        <w:rPr>
          <w:rFonts w:ascii="仿宋_GB2312" w:hAnsi="方正小标宋简体" w:cs="方正小标宋简体" w:hint="eastAsia"/>
          <w:szCs w:val="32"/>
        </w:rPr>
        <w:t>学校各单位：</w:t>
      </w:r>
    </w:p>
    <w:p w:rsidR="00E969C2" w:rsidRPr="00E65875" w:rsidRDefault="00E969C2" w:rsidP="00E969C2">
      <w:pPr>
        <w:snapToGrid w:val="0"/>
        <w:spacing w:line="360" w:lineRule="auto"/>
        <w:ind w:firstLineChars="200" w:firstLine="640"/>
        <w:rPr>
          <w:rFonts w:ascii="仿宋_GB2312" w:hAnsi="方正小标宋简体" w:cs="方正小标宋简体"/>
          <w:szCs w:val="32"/>
        </w:rPr>
      </w:pPr>
      <w:r w:rsidRPr="00E65875">
        <w:rPr>
          <w:rFonts w:ascii="仿宋_GB2312" w:hAnsi="方正小标宋简体" w:cs="方正小标宋简体" w:hint="eastAsia"/>
          <w:szCs w:val="32"/>
        </w:rPr>
        <w:t>现将《新乡医学院三全学院</w:t>
      </w:r>
      <w:r w:rsidRPr="00E969C2">
        <w:rPr>
          <w:rFonts w:ascii="仿宋_GB2312" w:hAnsi="方正小标宋简体" w:cs="方正小标宋简体" w:hint="eastAsia"/>
          <w:szCs w:val="32"/>
        </w:rPr>
        <w:t>2018-2020年学科建设发展规划</w:t>
      </w:r>
      <w:r w:rsidRPr="00E65875">
        <w:rPr>
          <w:rFonts w:ascii="仿宋_GB2312" w:hAnsi="方正小标宋简体" w:cs="方正小标宋简体" w:hint="eastAsia"/>
          <w:szCs w:val="32"/>
        </w:rPr>
        <w:t>》印发给你们，望遵照执行。</w:t>
      </w:r>
    </w:p>
    <w:p w:rsidR="00E969C2" w:rsidRPr="00E65875" w:rsidRDefault="00E969C2" w:rsidP="00E969C2">
      <w:pPr>
        <w:snapToGrid w:val="0"/>
        <w:spacing w:line="360" w:lineRule="auto"/>
        <w:ind w:firstLineChars="200" w:firstLine="640"/>
        <w:rPr>
          <w:rFonts w:ascii="仿宋_GB2312" w:hAnsi="方正小标宋简体" w:cs="方正小标宋简体"/>
          <w:szCs w:val="32"/>
        </w:rPr>
      </w:pPr>
    </w:p>
    <w:p w:rsidR="00E969C2" w:rsidRPr="00E65875" w:rsidRDefault="00E969C2" w:rsidP="00E969C2">
      <w:pPr>
        <w:snapToGrid w:val="0"/>
        <w:spacing w:line="360" w:lineRule="auto"/>
        <w:rPr>
          <w:rFonts w:ascii="仿宋_GB2312" w:hAnsi="方正小标宋简体" w:cs="方正小标宋简体"/>
          <w:szCs w:val="32"/>
        </w:rPr>
      </w:pPr>
    </w:p>
    <w:p w:rsidR="00E969C2" w:rsidRPr="00E65875" w:rsidRDefault="00E969C2" w:rsidP="00E969C2">
      <w:pPr>
        <w:wordWrap w:val="0"/>
        <w:snapToGrid w:val="0"/>
        <w:spacing w:line="360" w:lineRule="auto"/>
        <w:jc w:val="right"/>
        <w:rPr>
          <w:rFonts w:ascii="仿宋_GB2312" w:hAnsi="方正小标宋简体" w:cs="方正小标宋简体"/>
          <w:szCs w:val="32"/>
        </w:rPr>
      </w:pPr>
      <w:r w:rsidRPr="00E65875">
        <w:rPr>
          <w:rFonts w:ascii="仿宋_GB2312" w:hAnsi="方正小标宋简体" w:cs="方正小标宋简体" w:hint="eastAsia"/>
          <w:szCs w:val="32"/>
        </w:rPr>
        <w:t xml:space="preserve">新乡医学院三全学院       </w:t>
      </w:r>
    </w:p>
    <w:p w:rsidR="00E969C2" w:rsidRDefault="00E969C2" w:rsidP="00E969C2">
      <w:pPr>
        <w:adjustRightInd w:val="0"/>
        <w:snapToGrid w:val="0"/>
        <w:spacing w:line="240" w:lineRule="atLeast"/>
        <w:jc w:val="center"/>
        <w:rPr>
          <w:rFonts w:ascii="仿宋_GB2312" w:hAnsi="方正小标宋简体" w:cs="方正小标宋简体"/>
          <w:kern w:val="0"/>
          <w:szCs w:val="32"/>
        </w:rPr>
      </w:pPr>
      <w:r w:rsidRPr="00E65875">
        <w:rPr>
          <w:rFonts w:ascii="仿宋_GB2312" w:hAnsi="方正小标宋简体" w:cs="方正小标宋简体" w:hint="eastAsia"/>
          <w:kern w:val="0"/>
          <w:szCs w:val="32"/>
        </w:rPr>
        <w:t xml:space="preserve">                        2018年</w:t>
      </w:r>
      <w:r>
        <w:rPr>
          <w:rFonts w:ascii="仿宋_GB2312" w:hAnsi="方正小标宋简体" w:cs="方正小标宋简体" w:hint="eastAsia"/>
          <w:kern w:val="0"/>
          <w:szCs w:val="32"/>
        </w:rPr>
        <w:t>11</w:t>
      </w:r>
      <w:r w:rsidRPr="00E65875">
        <w:rPr>
          <w:rFonts w:ascii="仿宋_GB2312" w:hAnsi="方正小标宋简体" w:cs="方正小标宋简体" w:hint="eastAsia"/>
          <w:kern w:val="0"/>
          <w:szCs w:val="32"/>
        </w:rPr>
        <w:t>月</w:t>
      </w:r>
      <w:r>
        <w:rPr>
          <w:rFonts w:ascii="仿宋_GB2312" w:hAnsi="方正小标宋简体" w:cs="方正小标宋简体" w:hint="eastAsia"/>
          <w:kern w:val="0"/>
          <w:szCs w:val="32"/>
        </w:rPr>
        <w:t>5</w:t>
      </w:r>
      <w:r w:rsidRPr="00E65875">
        <w:rPr>
          <w:rFonts w:ascii="仿宋_GB2312" w:hAnsi="方正小标宋简体" w:cs="方正小标宋简体" w:hint="eastAsia"/>
          <w:kern w:val="0"/>
          <w:szCs w:val="32"/>
        </w:rPr>
        <w:t xml:space="preserve">日 </w:t>
      </w:r>
    </w:p>
    <w:p w:rsidR="00E969C2" w:rsidRDefault="00E969C2" w:rsidP="00E969C2">
      <w:pPr>
        <w:adjustRightInd w:val="0"/>
        <w:snapToGrid w:val="0"/>
        <w:spacing w:line="240" w:lineRule="atLeast"/>
        <w:jc w:val="center"/>
        <w:rPr>
          <w:rFonts w:ascii="仿宋_GB2312" w:hAnsi="方正小标宋简体" w:cs="方正小标宋简体"/>
          <w:kern w:val="0"/>
          <w:szCs w:val="32"/>
        </w:rPr>
      </w:pPr>
    </w:p>
    <w:p w:rsidR="00E969C2" w:rsidRDefault="00E969C2" w:rsidP="00E969C2">
      <w:pPr>
        <w:adjustRightInd w:val="0"/>
        <w:snapToGrid w:val="0"/>
        <w:spacing w:line="240" w:lineRule="atLeast"/>
        <w:jc w:val="center"/>
        <w:rPr>
          <w:rFonts w:ascii="仿宋_GB2312" w:hAnsi="方正小标宋简体" w:cs="方正小标宋简体"/>
          <w:kern w:val="0"/>
          <w:szCs w:val="32"/>
        </w:rPr>
      </w:pPr>
    </w:p>
    <w:p w:rsidR="00E969C2" w:rsidRDefault="00E969C2" w:rsidP="00E969C2">
      <w:pPr>
        <w:adjustRightInd w:val="0"/>
        <w:snapToGrid w:val="0"/>
        <w:spacing w:line="240" w:lineRule="atLeast"/>
        <w:jc w:val="center"/>
        <w:rPr>
          <w:rFonts w:ascii="仿宋_GB2312" w:hAnsi="方正小标宋简体" w:cs="方正小标宋简体"/>
          <w:kern w:val="0"/>
          <w:szCs w:val="32"/>
        </w:rPr>
      </w:pPr>
    </w:p>
    <w:p w:rsidR="00E969C2" w:rsidRDefault="00E969C2" w:rsidP="00E969C2">
      <w:pPr>
        <w:adjustRightInd w:val="0"/>
        <w:snapToGrid w:val="0"/>
        <w:spacing w:line="240" w:lineRule="atLeast"/>
        <w:jc w:val="center"/>
        <w:rPr>
          <w:rFonts w:ascii="仿宋_GB2312" w:hAnsi="方正小标宋简体" w:cs="方正小标宋简体"/>
          <w:kern w:val="0"/>
          <w:szCs w:val="32"/>
        </w:rPr>
      </w:pPr>
    </w:p>
    <w:p w:rsidR="00E969C2" w:rsidRPr="00E969C2" w:rsidRDefault="00E969C2" w:rsidP="00E969C2">
      <w:pPr>
        <w:adjustRightInd w:val="0"/>
        <w:snapToGrid w:val="0"/>
        <w:spacing w:line="240" w:lineRule="atLeast"/>
        <w:jc w:val="center"/>
        <w:rPr>
          <w:rFonts w:ascii="仿宋_GB2312" w:hAnsi="方正小标宋简体" w:cs="方正小标宋简体"/>
          <w:kern w:val="0"/>
          <w:szCs w:val="32"/>
        </w:rPr>
      </w:pPr>
      <w:r w:rsidRPr="007721F5">
        <w:rPr>
          <w:rFonts w:ascii="方正小标宋简体" w:eastAsia="方正小标宋简体" w:hAnsi="宋体" w:cs="宋体" w:hint="eastAsia"/>
          <w:color w:val="000000"/>
          <w:kern w:val="0"/>
          <w:sz w:val="44"/>
          <w:szCs w:val="44"/>
        </w:rPr>
        <w:t>新乡医学院三全学院</w:t>
      </w:r>
    </w:p>
    <w:p w:rsidR="00E969C2" w:rsidRPr="007721F5" w:rsidRDefault="00E969C2" w:rsidP="003C62D6">
      <w:pPr>
        <w:tabs>
          <w:tab w:val="left" w:pos="3828"/>
        </w:tabs>
        <w:snapToGrid w:val="0"/>
        <w:jc w:val="center"/>
        <w:rPr>
          <w:rFonts w:ascii="方正小标宋简体" w:eastAsia="方正小标宋简体" w:hAnsi="宋体" w:cs="宋体"/>
          <w:color w:val="000000"/>
          <w:kern w:val="0"/>
          <w:sz w:val="44"/>
          <w:szCs w:val="44"/>
        </w:rPr>
      </w:pPr>
      <w:r w:rsidRPr="007721F5">
        <w:rPr>
          <w:rFonts w:ascii="方正小标宋简体" w:eastAsia="方正小标宋简体" w:hAnsi="宋体" w:cs="宋体" w:hint="eastAsia"/>
          <w:color w:val="000000"/>
          <w:kern w:val="0"/>
          <w:sz w:val="44"/>
          <w:szCs w:val="44"/>
        </w:rPr>
        <w:t>2018-2020</w:t>
      </w:r>
      <w:r>
        <w:rPr>
          <w:rFonts w:ascii="方正小标宋简体" w:eastAsia="方正小标宋简体" w:hAnsi="宋体" w:cs="宋体" w:hint="eastAsia"/>
          <w:color w:val="000000"/>
          <w:kern w:val="0"/>
          <w:sz w:val="44"/>
          <w:szCs w:val="44"/>
        </w:rPr>
        <w:t>年</w:t>
      </w:r>
      <w:r w:rsidRPr="007721F5">
        <w:rPr>
          <w:rFonts w:ascii="方正小标宋简体" w:eastAsia="方正小标宋简体" w:hAnsi="宋体" w:cs="宋体" w:hint="eastAsia"/>
          <w:color w:val="000000"/>
          <w:kern w:val="0"/>
          <w:sz w:val="44"/>
          <w:szCs w:val="44"/>
        </w:rPr>
        <w:t>学科建设发展规划</w:t>
      </w:r>
    </w:p>
    <w:p w:rsidR="00E969C2" w:rsidRDefault="00E969C2">
      <w:pPr>
        <w:jc w:val="left"/>
        <w:rPr>
          <w:rFonts w:ascii="仿宋_GB2312"/>
          <w:szCs w:val="32"/>
        </w:rPr>
      </w:pPr>
    </w:p>
    <w:p w:rsidR="00E969C2" w:rsidRDefault="00E969C2" w:rsidP="007721F5">
      <w:pPr>
        <w:ind w:firstLineChars="200" w:firstLine="640"/>
        <w:jc w:val="left"/>
        <w:rPr>
          <w:rFonts w:ascii="仿宋_GB2312"/>
          <w:szCs w:val="32"/>
        </w:rPr>
      </w:pPr>
      <w:r>
        <w:rPr>
          <w:rFonts w:ascii="仿宋_GB2312" w:hint="eastAsia"/>
          <w:szCs w:val="32"/>
        </w:rPr>
        <w:t>学科建设是高等学校发挥人才培养、</w:t>
      </w:r>
      <w:r>
        <w:rPr>
          <w:rFonts w:ascii="仿宋_GB2312"/>
          <w:szCs w:val="32"/>
        </w:rPr>
        <w:t>科学研究</w:t>
      </w:r>
      <w:r>
        <w:rPr>
          <w:rFonts w:ascii="仿宋_GB2312" w:hint="eastAsia"/>
          <w:szCs w:val="32"/>
        </w:rPr>
        <w:t>、文化传承和社会服务四大职能的重要基石</w:t>
      </w:r>
      <w:r>
        <w:rPr>
          <w:rFonts w:ascii="仿宋_GB2312"/>
          <w:szCs w:val="32"/>
        </w:rPr>
        <w:t>，</w:t>
      </w:r>
      <w:r>
        <w:rPr>
          <w:rFonts w:ascii="仿宋_GB2312" w:hint="eastAsia"/>
          <w:szCs w:val="32"/>
        </w:rPr>
        <w:t>良好的</w:t>
      </w:r>
      <w:r>
        <w:rPr>
          <w:rFonts w:ascii="仿宋_GB2312"/>
          <w:szCs w:val="32"/>
        </w:rPr>
        <w:t>学科专业组织建设是其最基本的保证。为</w:t>
      </w:r>
      <w:r>
        <w:rPr>
          <w:rFonts w:ascii="仿宋_GB2312" w:hint="eastAsia"/>
          <w:szCs w:val="32"/>
        </w:rPr>
        <w:t>了紧跟</w:t>
      </w:r>
      <w:r>
        <w:rPr>
          <w:rFonts w:ascii="仿宋_GB2312"/>
          <w:szCs w:val="32"/>
        </w:rPr>
        <w:t>国家</w:t>
      </w:r>
      <w:r>
        <w:rPr>
          <w:rFonts w:ascii="仿宋_GB2312" w:hint="eastAsia"/>
          <w:szCs w:val="32"/>
        </w:rPr>
        <w:t>统筹推进“双一流”步伐，贯彻落实教育部、国家发展改革委、财政部《关于引导部分本科高校向应用型转变的实施意见》，我校必须以</w:t>
      </w:r>
      <w:r>
        <w:rPr>
          <w:rFonts w:ascii="仿宋_GB2312"/>
          <w:szCs w:val="32"/>
        </w:rPr>
        <w:t>学科专业一体化建设</w:t>
      </w:r>
      <w:r>
        <w:rPr>
          <w:rFonts w:ascii="仿宋_GB2312" w:hint="eastAsia"/>
          <w:szCs w:val="32"/>
        </w:rPr>
        <w:t>为总抓手</w:t>
      </w:r>
      <w:r>
        <w:rPr>
          <w:rFonts w:ascii="仿宋_GB2312"/>
          <w:szCs w:val="32"/>
        </w:rPr>
        <w:t>，</w:t>
      </w:r>
      <w:r>
        <w:rPr>
          <w:rFonts w:ascii="仿宋_GB2312" w:hint="eastAsia"/>
          <w:szCs w:val="32"/>
        </w:rPr>
        <w:t>以学科支撑专业发展，以建设一流本科教育为根本，</w:t>
      </w:r>
      <w:r>
        <w:rPr>
          <w:rFonts w:ascii="仿宋_GB2312"/>
          <w:szCs w:val="32"/>
        </w:rPr>
        <w:t>以申请硕士授予单位为</w:t>
      </w:r>
      <w:r>
        <w:rPr>
          <w:rFonts w:ascii="仿宋_GB2312" w:hint="eastAsia"/>
          <w:szCs w:val="32"/>
        </w:rPr>
        <w:t>目标</w:t>
      </w:r>
      <w:r>
        <w:rPr>
          <w:rFonts w:ascii="仿宋_GB2312"/>
          <w:szCs w:val="32"/>
        </w:rPr>
        <w:t>，</w:t>
      </w:r>
      <w:r>
        <w:rPr>
          <w:rFonts w:ascii="仿宋_GB2312" w:hint="eastAsia"/>
          <w:szCs w:val="32"/>
        </w:rPr>
        <w:t>将学科建设作为迅速提升办学实力的重要举措，实现学校建设高水平、有特色、应用型、健康服务业大学。依据《新乡医学院三全学院“十三五”事业发展规划》和学科专业建设实际，特制定本规划。</w:t>
      </w:r>
    </w:p>
    <w:p w:rsidR="00E969C2" w:rsidRPr="007721F5" w:rsidRDefault="00E969C2" w:rsidP="007721F5">
      <w:pPr>
        <w:ind w:firstLineChars="200" w:firstLine="640"/>
        <w:jc w:val="left"/>
        <w:rPr>
          <w:rFonts w:ascii="黑体" w:eastAsia="黑体"/>
          <w:szCs w:val="32"/>
        </w:rPr>
      </w:pPr>
      <w:r w:rsidRPr="007721F5">
        <w:rPr>
          <w:rFonts w:ascii="黑体" w:eastAsia="黑体" w:hint="eastAsia"/>
          <w:szCs w:val="32"/>
        </w:rPr>
        <w:t>一、现阶段发展状况</w:t>
      </w:r>
    </w:p>
    <w:p w:rsidR="00E969C2" w:rsidRPr="007721F5" w:rsidRDefault="00E969C2" w:rsidP="007721F5">
      <w:pPr>
        <w:ind w:firstLineChars="200" w:firstLine="640"/>
        <w:jc w:val="left"/>
        <w:rPr>
          <w:rFonts w:ascii="楷体_GB2312" w:eastAsia="楷体_GB2312"/>
          <w:szCs w:val="32"/>
        </w:rPr>
      </w:pPr>
      <w:r w:rsidRPr="007721F5">
        <w:rPr>
          <w:rFonts w:ascii="楷体_GB2312" w:eastAsia="楷体_GB2312" w:hint="eastAsia"/>
          <w:szCs w:val="32"/>
        </w:rPr>
        <w:t>（一）建设成就</w:t>
      </w:r>
    </w:p>
    <w:p w:rsidR="00E969C2" w:rsidRPr="007721F5" w:rsidRDefault="00E969C2" w:rsidP="007721F5">
      <w:pPr>
        <w:ind w:firstLineChars="200" w:firstLine="640"/>
        <w:jc w:val="left"/>
        <w:rPr>
          <w:rFonts w:ascii="仿宋_GB2312"/>
          <w:szCs w:val="32"/>
        </w:rPr>
      </w:pPr>
      <w:r w:rsidRPr="007721F5">
        <w:rPr>
          <w:rFonts w:ascii="仿宋_GB2312" w:hint="eastAsia"/>
          <w:szCs w:val="32"/>
        </w:rPr>
        <w:t>1.学科布局初步形成</w:t>
      </w:r>
    </w:p>
    <w:p w:rsidR="00E969C2" w:rsidRDefault="00E969C2">
      <w:pPr>
        <w:ind w:firstLineChars="200" w:firstLine="640"/>
        <w:jc w:val="left"/>
        <w:rPr>
          <w:rFonts w:ascii="仿宋_GB2312"/>
          <w:szCs w:val="32"/>
        </w:rPr>
      </w:pPr>
      <w:r>
        <w:rPr>
          <w:rFonts w:ascii="仿宋_GB2312" w:hint="eastAsia"/>
          <w:szCs w:val="32"/>
        </w:rPr>
        <w:t>根据学校现有专业布局和专业建设规划，结合学科已具备条件，初步形成了“生物与医药”、“健康管理”、“医学技术”及“医疗服务”四大学科群。根据学科群建设工作实际，整合了临床学院、护理学院等13个院（系、部）、涵盖5个专业集群的学科资源，并在每个学科群的教学院系之间建立了沟通联系机制，统筹规划了学科建设工作。</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2.平台建设初具规模</w:t>
      </w:r>
    </w:p>
    <w:p w:rsidR="00E969C2" w:rsidRDefault="00E969C2">
      <w:pPr>
        <w:ind w:firstLineChars="200" w:firstLine="640"/>
        <w:jc w:val="left"/>
        <w:rPr>
          <w:rFonts w:ascii="仿宋_GB2312"/>
          <w:szCs w:val="32"/>
        </w:rPr>
      </w:pPr>
      <w:r>
        <w:rPr>
          <w:rFonts w:ascii="仿宋_GB2312" w:hint="eastAsia"/>
          <w:szCs w:val="32"/>
        </w:rPr>
        <w:t>学科平台建设成效显著。新成立的“新乡医学院三全学院科技创新中心”（以下简称“科创中心”）建筑面积达1950平米，具有功能实验室23个，仪器设备1150台件，总价值2000余万元。依托“科创中心”，学校建成“新乡市生育力保存重点实验室”1个、“新乡市山楂综合利用工程技术研究中心”1个、“河南省工程技术研究中心—新乡医学院三全学院研究基地”1个、“广东凯普生物科技股份有限公司—</w:t>
      </w:r>
      <w:r>
        <w:rPr>
          <w:rFonts w:ascii="仿宋_GB2312"/>
          <w:szCs w:val="32"/>
        </w:rPr>
        <w:t>新乡医学院三全学院协同创新中心</w:t>
      </w:r>
      <w:r>
        <w:rPr>
          <w:rFonts w:ascii="仿宋_GB2312" w:hint="eastAsia"/>
          <w:szCs w:val="32"/>
        </w:rPr>
        <w:t>”1个、“新乡博</w:t>
      </w:r>
      <w:proofErr w:type="gramStart"/>
      <w:r>
        <w:rPr>
          <w:rFonts w:ascii="仿宋_GB2312" w:hint="eastAsia"/>
          <w:szCs w:val="32"/>
        </w:rPr>
        <w:t>凯</w:t>
      </w:r>
      <w:proofErr w:type="gramEnd"/>
      <w:r>
        <w:rPr>
          <w:rFonts w:ascii="仿宋_GB2312" w:hint="eastAsia"/>
          <w:szCs w:val="32"/>
        </w:rPr>
        <w:t>生物技术有限公司—新乡医学院三全学院科技成果转移转化基地”1个、“新乡博</w:t>
      </w:r>
      <w:proofErr w:type="gramStart"/>
      <w:r>
        <w:rPr>
          <w:rFonts w:ascii="仿宋_GB2312" w:hint="eastAsia"/>
          <w:szCs w:val="32"/>
        </w:rPr>
        <w:t>凯</w:t>
      </w:r>
      <w:proofErr w:type="gramEnd"/>
      <w:r>
        <w:rPr>
          <w:rFonts w:ascii="仿宋_GB2312" w:hint="eastAsia"/>
          <w:szCs w:val="32"/>
        </w:rPr>
        <w:t>生物技术有限公司—新乡医学院三全学院专业学位研究生实践基地”1个。另外，已经建成河南省示范性生物与基础医学实验教学中心、国际护理培训中心、</w:t>
      </w:r>
      <w:proofErr w:type="gramStart"/>
      <w:r>
        <w:rPr>
          <w:rFonts w:ascii="仿宋_GB2312" w:hint="eastAsia"/>
          <w:szCs w:val="32"/>
        </w:rPr>
        <w:t>医养康护实践</w:t>
      </w:r>
      <w:proofErr w:type="gramEnd"/>
      <w:r>
        <w:rPr>
          <w:rFonts w:ascii="仿宋_GB2312" w:hint="eastAsia"/>
          <w:szCs w:val="32"/>
        </w:rPr>
        <w:t>教学中心、医学工程实训中心、眼视光学实训中心、口腔医学技术实训中心等兼具科研、教学与实训多功能的实验室，保障了本科各学科专业发展需求。</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3.教师队伍建设持续优化</w:t>
      </w:r>
    </w:p>
    <w:p w:rsidR="00E969C2" w:rsidRDefault="00E969C2">
      <w:pPr>
        <w:ind w:firstLineChars="200" w:firstLine="640"/>
        <w:jc w:val="left"/>
        <w:rPr>
          <w:rFonts w:ascii="仿宋_GB2312"/>
          <w:szCs w:val="32"/>
        </w:rPr>
      </w:pPr>
      <w:r>
        <w:rPr>
          <w:rFonts w:ascii="仿宋_GB2312" w:hint="eastAsia"/>
          <w:szCs w:val="32"/>
        </w:rPr>
        <w:t>学校实施人才强校战略，坚持引进与培养并重，逐步推进教师博士化进程，师资队伍规模不断壮大，结构日趋合理。目前，我校专任教师达506人，外聘高层次人才75人；专任教师队伍学历结构、职称结构、年龄结构不断优化；“双师型”教师队伍建设初见成效，已有91人持双证（教师资格证和职业资格证）上岗；拥有河南省学术技术带头人5人，河南省中青年骨干教师4人。</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4.人才培养质量稳步提高</w:t>
      </w:r>
    </w:p>
    <w:p w:rsidR="00E969C2" w:rsidRDefault="00E969C2">
      <w:pPr>
        <w:ind w:firstLineChars="200" w:firstLine="640"/>
        <w:jc w:val="left"/>
        <w:rPr>
          <w:rFonts w:ascii="仿宋_GB2312" w:hAnsi="宋体" w:cs="宋体"/>
          <w:szCs w:val="32"/>
        </w:rPr>
      </w:pPr>
      <w:r>
        <w:rPr>
          <w:rFonts w:ascii="仿宋_GB2312" w:hint="eastAsia"/>
          <w:szCs w:val="32"/>
        </w:rPr>
        <w:t>学校建有</w:t>
      </w:r>
      <w:r>
        <w:rPr>
          <w:rFonts w:ascii="仿宋_GB2312" w:hAnsi="Calibri" w:hint="eastAsia"/>
          <w:szCs w:val="32"/>
        </w:rPr>
        <w:t>24个本科专业及方向、9个专科专业，涵盖</w:t>
      </w:r>
      <w:proofErr w:type="gramStart"/>
      <w:r>
        <w:rPr>
          <w:rFonts w:ascii="仿宋_GB2312" w:hAnsi="Calibri" w:hint="eastAsia"/>
          <w:szCs w:val="32"/>
        </w:rPr>
        <w:t>医</w:t>
      </w:r>
      <w:proofErr w:type="gramEnd"/>
      <w:r>
        <w:rPr>
          <w:rFonts w:ascii="仿宋_GB2312" w:hAnsi="Calibri" w:hint="eastAsia"/>
          <w:szCs w:val="32"/>
        </w:rPr>
        <w:t>、管、理、工、文等5个学科领域，在校生共18800余人</w:t>
      </w:r>
      <w:r>
        <w:rPr>
          <w:rFonts w:ascii="仿宋_GB2312" w:hint="eastAsia"/>
          <w:szCs w:val="32"/>
        </w:rPr>
        <w:t>，教学科研仪器设备总值过亿元，各科类实验（实训）室141个，全过程教学基地12个，省内外实践教学基地104个。</w:t>
      </w:r>
      <w:r>
        <w:rPr>
          <w:rFonts w:ascii="仿宋_GB2312" w:hAnsi="宋体" w:cs="宋体" w:hint="eastAsia"/>
          <w:szCs w:val="32"/>
        </w:rPr>
        <w:t>本科护理学、临床医学、眼视光学、康复治疗学、医学检验技术专业获批为河南省民办普通高等学校品牌专业；临床医学、护理学、康复治疗学、眼视</w:t>
      </w:r>
      <w:proofErr w:type="gramStart"/>
      <w:r>
        <w:rPr>
          <w:rFonts w:ascii="仿宋_GB2312" w:hAnsi="宋体" w:cs="宋体" w:hint="eastAsia"/>
          <w:szCs w:val="32"/>
        </w:rPr>
        <w:t>光学获</w:t>
      </w:r>
      <w:proofErr w:type="gramEnd"/>
      <w:r>
        <w:rPr>
          <w:rFonts w:ascii="仿宋_GB2312" w:hAnsi="宋体" w:cs="宋体" w:hint="eastAsia"/>
          <w:szCs w:val="32"/>
        </w:rPr>
        <w:t>批为河南省综合改革试点专业。</w:t>
      </w:r>
    </w:p>
    <w:p w:rsidR="00E969C2" w:rsidRDefault="00E969C2">
      <w:pPr>
        <w:snapToGrid w:val="0"/>
        <w:spacing w:line="360" w:lineRule="auto"/>
        <w:ind w:firstLineChars="200" w:firstLine="640"/>
        <w:rPr>
          <w:rFonts w:ascii="仿宋_GB2312"/>
          <w:szCs w:val="32"/>
        </w:rPr>
      </w:pPr>
      <w:r>
        <w:rPr>
          <w:rFonts w:ascii="仿宋_GB2312" w:hint="eastAsia"/>
          <w:szCs w:val="32"/>
        </w:rPr>
        <w:t>学校坚持学科建设服务人才培养的核心理念，以高水平科学研究支撑高质量本科人才培养，通过组建大学生科研兴趣协会、大学生科研团队、大学生科研小组，吸纳优秀学生早进课题组、早进团队等多种途径，将最新的科研成果及时转化为教育教学内容，全面提高学生的自主学习能力、创新能力和实践能力；初步搭建成功“产学研融合、科教协同育人”的人才培养模式；学科建设服务应用型人才培养效能稳步提升。</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5.科技创新能力明显提升</w:t>
      </w:r>
    </w:p>
    <w:p w:rsidR="00E969C2" w:rsidRDefault="00E969C2">
      <w:pPr>
        <w:ind w:firstLineChars="200" w:firstLine="640"/>
        <w:jc w:val="left"/>
        <w:rPr>
          <w:rFonts w:ascii="仿宋_GB2312"/>
          <w:szCs w:val="32"/>
        </w:rPr>
      </w:pPr>
      <w:r>
        <w:rPr>
          <w:rFonts w:ascii="仿宋_GB2312" w:hint="eastAsia"/>
          <w:szCs w:val="32"/>
        </w:rPr>
        <w:t>坚持科研为教学服务，积极推进科研体制改革创新，加大科研投入和政策支持力度，创造浓厚学术氛围，激发科技创新活力，科研成果产出能力稳步提升。</w:t>
      </w:r>
    </w:p>
    <w:p w:rsidR="00E969C2" w:rsidRDefault="00E969C2">
      <w:pPr>
        <w:ind w:firstLineChars="200" w:firstLine="640"/>
        <w:jc w:val="left"/>
        <w:rPr>
          <w:rFonts w:ascii="仿宋_GB2312"/>
          <w:szCs w:val="32"/>
        </w:rPr>
      </w:pPr>
      <w:r>
        <w:rPr>
          <w:rFonts w:ascii="仿宋_GB2312" w:hint="eastAsia"/>
          <w:szCs w:val="32"/>
        </w:rPr>
        <w:t>“十二五”以来，获</w:t>
      </w:r>
      <w:proofErr w:type="gramStart"/>
      <w:r>
        <w:rPr>
          <w:rFonts w:ascii="仿宋_GB2312" w:hint="eastAsia"/>
          <w:szCs w:val="32"/>
        </w:rPr>
        <w:t>批国家</w:t>
      </w:r>
      <w:proofErr w:type="gramEnd"/>
      <w:r>
        <w:rPr>
          <w:rFonts w:ascii="仿宋_GB2312" w:hint="eastAsia"/>
          <w:szCs w:val="32"/>
        </w:rPr>
        <w:t>自然科学基金资助项目1项，实现了建校以来国家级项目零的突破；承担省部级科研项目4项，获批地厅级科研项目422项。发表论文总数达982篇，其中被SCI、SSCI、EI、CSSCI、CSCD等收录19篇，核心期刊121篇，出版著作教材26部，获</w:t>
      </w:r>
      <w:proofErr w:type="gramStart"/>
      <w:r>
        <w:rPr>
          <w:rFonts w:ascii="仿宋_GB2312" w:hint="eastAsia"/>
          <w:szCs w:val="32"/>
        </w:rPr>
        <w:t>批专利</w:t>
      </w:r>
      <w:proofErr w:type="gramEnd"/>
      <w:r>
        <w:rPr>
          <w:rFonts w:ascii="仿宋_GB2312" w:hint="eastAsia"/>
          <w:szCs w:val="32"/>
        </w:rPr>
        <w:t>32项。</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（二）问题与不足</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1.研究方向不够明晰</w:t>
      </w:r>
    </w:p>
    <w:p w:rsidR="00E969C2" w:rsidRDefault="00E969C2">
      <w:pPr>
        <w:ind w:firstLineChars="200" w:firstLine="640"/>
        <w:jc w:val="left"/>
        <w:rPr>
          <w:rFonts w:ascii="仿宋_GB2312"/>
          <w:szCs w:val="32"/>
        </w:rPr>
      </w:pPr>
      <w:r>
        <w:rPr>
          <w:rFonts w:ascii="仿宋_GB2312" w:hint="eastAsia"/>
          <w:szCs w:val="32"/>
        </w:rPr>
        <w:t>专业设置规模逐年扩大，但学科建设明显滞后，优势特色学科不明显，学科研究方向缺乏顶层设计，应用技术</w:t>
      </w:r>
      <w:proofErr w:type="gramStart"/>
      <w:r>
        <w:rPr>
          <w:rFonts w:ascii="仿宋_GB2312" w:hint="eastAsia"/>
          <w:szCs w:val="32"/>
        </w:rPr>
        <w:t>型大学</w:t>
      </w:r>
      <w:proofErr w:type="gramEnd"/>
      <w:r>
        <w:rPr>
          <w:rFonts w:ascii="仿宋_GB2312" w:hint="eastAsia"/>
          <w:szCs w:val="32"/>
        </w:rPr>
        <w:t>的办学特色不够突出；产学研结合、科教融合的学科建设模式有待进一步完善。</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2.师资队伍结构欠合理</w:t>
      </w:r>
    </w:p>
    <w:p w:rsidR="00E969C2" w:rsidRDefault="00E969C2">
      <w:pPr>
        <w:ind w:firstLineChars="200" w:firstLine="640"/>
        <w:jc w:val="left"/>
        <w:rPr>
          <w:rFonts w:ascii="仿宋_GB2312"/>
          <w:szCs w:val="32"/>
        </w:rPr>
      </w:pPr>
      <w:r>
        <w:rPr>
          <w:rFonts w:ascii="仿宋_GB2312" w:hint="eastAsia"/>
          <w:szCs w:val="32"/>
        </w:rPr>
        <w:t>人才梯队结构不够合理，高层次人才匮乏，学术骨干人数较少，博士比例偏低，部分专业缺乏学科带头人和学术技术带头人，青年人才储备不足。</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3.高层次人才培养工作尚未成熟</w:t>
      </w:r>
    </w:p>
    <w:p w:rsidR="00E969C2" w:rsidRDefault="00E969C2">
      <w:pPr>
        <w:ind w:firstLineChars="200" w:firstLine="640"/>
        <w:jc w:val="left"/>
        <w:rPr>
          <w:rFonts w:ascii="仿宋_GB2312"/>
          <w:szCs w:val="32"/>
        </w:rPr>
      </w:pPr>
      <w:r>
        <w:rPr>
          <w:rFonts w:ascii="仿宋_GB2312" w:hint="eastAsia"/>
          <w:szCs w:val="32"/>
        </w:rPr>
        <w:t>硕士研究生教育工作尚处于起步阶段；学科建设对专业建设的支撑作用需进一步加强。</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4.科学研究水平偏低</w:t>
      </w:r>
    </w:p>
    <w:p w:rsidR="00E969C2" w:rsidRDefault="00E969C2">
      <w:pPr>
        <w:ind w:firstLineChars="200" w:firstLine="640"/>
        <w:jc w:val="left"/>
        <w:rPr>
          <w:rFonts w:ascii="仿宋_GB2312"/>
          <w:szCs w:val="32"/>
        </w:rPr>
      </w:pPr>
      <w:r>
        <w:rPr>
          <w:rFonts w:ascii="仿宋_GB2312" w:hint="eastAsia"/>
          <w:szCs w:val="32"/>
        </w:rPr>
        <w:t>高水平科研项目、科研成果总量较低，尚不能满足学科专业发展的需要；重申报、轻产出、</w:t>
      </w:r>
      <w:proofErr w:type="gramStart"/>
      <w:r>
        <w:rPr>
          <w:rFonts w:ascii="仿宋_GB2312" w:hint="eastAsia"/>
          <w:szCs w:val="32"/>
        </w:rPr>
        <w:t>轻转移</w:t>
      </w:r>
      <w:proofErr w:type="gramEnd"/>
      <w:r>
        <w:rPr>
          <w:rFonts w:ascii="仿宋_GB2312" w:hint="eastAsia"/>
          <w:szCs w:val="32"/>
        </w:rPr>
        <w:t>转化现象较为突出。</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5.平台建设层次较低</w:t>
      </w:r>
    </w:p>
    <w:p w:rsidR="00E969C2" w:rsidRDefault="00E969C2">
      <w:pPr>
        <w:ind w:firstLineChars="200" w:firstLine="640"/>
        <w:jc w:val="left"/>
        <w:rPr>
          <w:rFonts w:ascii="仿宋_GB2312"/>
          <w:color w:val="FF0000"/>
          <w:szCs w:val="32"/>
        </w:rPr>
      </w:pPr>
      <w:r>
        <w:rPr>
          <w:rFonts w:ascii="仿宋_GB2312" w:hint="eastAsia"/>
          <w:szCs w:val="32"/>
        </w:rPr>
        <w:t>地市级科研平台数量偏少，省级科研平台尚未取得突破；平台制度建设不够完善；平台硬件设施不够齐全。</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6.社会服务能力不足</w:t>
      </w:r>
    </w:p>
    <w:p w:rsidR="00E969C2" w:rsidRDefault="00E969C2" w:rsidP="007D2B4B">
      <w:pPr>
        <w:ind w:firstLineChars="200" w:firstLine="640"/>
        <w:jc w:val="left"/>
        <w:rPr>
          <w:rFonts w:ascii="仿宋_GB2312"/>
          <w:szCs w:val="32"/>
        </w:rPr>
      </w:pPr>
      <w:r>
        <w:rPr>
          <w:rFonts w:ascii="仿宋_GB2312" w:hint="eastAsia"/>
          <w:szCs w:val="32"/>
        </w:rPr>
        <w:t>应用性项目研究和应用性成果产出率低，科技成果转移转化能力明显不足，与地方政府、企事业单位及研究院所合作力度较小，缺乏具有显著社会效益和经济效益的应用型成果。</w:t>
      </w:r>
    </w:p>
    <w:p w:rsidR="00E969C2" w:rsidRPr="007C0AEB" w:rsidRDefault="00E969C2" w:rsidP="007D2B4B">
      <w:pPr>
        <w:spacing w:line="360" w:lineRule="auto"/>
        <w:ind w:firstLineChars="200" w:firstLine="640"/>
        <w:jc w:val="left"/>
        <w:rPr>
          <w:rFonts w:ascii="黑体" w:eastAsia="黑体"/>
          <w:szCs w:val="32"/>
        </w:rPr>
      </w:pPr>
      <w:r w:rsidRPr="007C0AEB">
        <w:rPr>
          <w:rFonts w:ascii="黑体" w:eastAsia="黑体" w:hint="eastAsia"/>
          <w:szCs w:val="32"/>
        </w:rPr>
        <w:t>二、“十三五”期间学科建设的指导思想和发展思路</w:t>
      </w:r>
    </w:p>
    <w:p w:rsidR="00E969C2" w:rsidRPr="007C0AEB" w:rsidRDefault="00E969C2" w:rsidP="007D2B4B">
      <w:pPr>
        <w:spacing w:line="360" w:lineRule="auto"/>
        <w:ind w:firstLineChars="200" w:firstLine="640"/>
        <w:jc w:val="left"/>
        <w:rPr>
          <w:rFonts w:ascii="楷体_GB2312" w:eastAsia="楷体_GB2312"/>
          <w:szCs w:val="32"/>
        </w:rPr>
      </w:pPr>
      <w:r w:rsidRPr="007C0AEB">
        <w:rPr>
          <w:rFonts w:ascii="楷体_GB2312" w:eastAsia="楷体_GB2312" w:hint="eastAsia"/>
          <w:szCs w:val="32"/>
        </w:rPr>
        <w:t>（一）指导思想</w:t>
      </w:r>
    </w:p>
    <w:p w:rsidR="00E969C2" w:rsidRDefault="00E969C2">
      <w:pPr>
        <w:ind w:firstLineChars="200" w:firstLine="640"/>
        <w:jc w:val="left"/>
        <w:rPr>
          <w:rFonts w:ascii="仿宋_GB2312"/>
          <w:szCs w:val="32"/>
        </w:rPr>
      </w:pPr>
      <w:r>
        <w:rPr>
          <w:rFonts w:ascii="仿宋_GB2312" w:hint="eastAsia"/>
          <w:szCs w:val="32"/>
        </w:rPr>
        <w:t>“十三五”期间，学科建设工作的指导思想是以中国特色社会主义理论体系为指导，以国务院《“健康中国2030”规划纲要》为统领，以国务院学位委员会《学位授权审核工作总体要求》和《学位授权审核申请基本条件（试行）》为导向，以加快建设高水平本科教育全面提高人才培养能力为根本，优化学科专业队伍，提升科技创新能力，全力推进转型发展，全面提升办学质量。</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（二）发展思路</w:t>
      </w:r>
    </w:p>
    <w:p w:rsidR="00E969C2" w:rsidRDefault="00E969C2">
      <w:pPr>
        <w:ind w:firstLineChars="200" w:firstLine="640"/>
        <w:jc w:val="left"/>
        <w:rPr>
          <w:rFonts w:ascii="仿宋_GB2312"/>
          <w:szCs w:val="32"/>
        </w:rPr>
      </w:pPr>
      <w:r>
        <w:rPr>
          <w:rFonts w:ascii="仿宋_GB2312" w:hint="eastAsia"/>
          <w:szCs w:val="32"/>
        </w:rPr>
        <w:t>在保证高水平本科教育的基础上，稳步发展研究生教育。紧密围绕大健康产业，</w:t>
      </w:r>
      <w:r w:rsidRPr="00B05228">
        <w:rPr>
          <w:rFonts w:ascii="仿宋_GB2312" w:hint="eastAsia"/>
          <w:szCs w:val="32"/>
        </w:rPr>
        <w:t>加快推</w:t>
      </w:r>
      <w:r>
        <w:rPr>
          <w:rFonts w:ascii="仿宋_GB2312" w:hint="eastAsia"/>
          <w:szCs w:val="32"/>
        </w:rPr>
        <w:t>进</w:t>
      </w:r>
      <w:r w:rsidRPr="00B05228">
        <w:rPr>
          <w:rFonts w:ascii="仿宋_GB2312" w:hint="eastAsia"/>
          <w:szCs w:val="32"/>
        </w:rPr>
        <w:t>人工智能、大数据在学科建设过程中的深入融合与应用，</w:t>
      </w:r>
      <w:r>
        <w:rPr>
          <w:rFonts w:ascii="仿宋_GB2312" w:hint="eastAsia"/>
          <w:szCs w:val="32"/>
        </w:rPr>
        <w:t>秉持“优先发展、支撑发展、特色发展”的原则，优先发展“生物与医药”学科群、“健康管理”学科群，特色发展“医学技术”学科群，支撑发展“医疗服务”学科群，集中资源、分类推进。</w:t>
      </w:r>
    </w:p>
    <w:p w:rsidR="00E969C2" w:rsidRPr="007C0AEB" w:rsidRDefault="00E969C2" w:rsidP="007C0AEB">
      <w:pPr>
        <w:ind w:firstLineChars="200" w:firstLine="640"/>
        <w:jc w:val="left"/>
        <w:rPr>
          <w:rFonts w:ascii="黑体" w:eastAsia="黑体"/>
          <w:color w:val="FF0000"/>
          <w:szCs w:val="32"/>
        </w:rPr>
      </w:pPr>
      <w:r w:rsidRPr="007C0AEB">
        <w:rPr>
          <w:rFonts w:ascii="黑体" w:eastAsia="黑体" w:hint="eastAsia"/>
          <w:szCs w:val="32"/>
        </w:rPr>
        <w:t>三、建设总体目标</w:t>
      </w:r>
    </w:p>
    <w:p w:rsidR="00E969C2" w:rsidRDefault="00E969C2">
      <w:pPr>
        <w:ind w:firstLineChars="200" w:firstLine="640"/>
        <w:jc w:val="left"/>
        <w:rPr>
          <w:rFonts w:ascii="仿宋_GB2312"/>
          <w:szCs w:val="32"/>
        </w:rPr>
      </w:pPr>
      <w:r>
        <w:rPr>
          <w:rFonts w:ascii="仿宋_GB2312" w:hint="eastAsia"/>
          <w:szCs w:val="32"/>
        </w:rPr>
        <w:t>坚持以本为本，逐步发展研究生教育。到2020年，全日制在校学生人数与专任教师的比例不超过 17:1；承担20项（含）以上省部级及以上科研项目；承担10项（含）以上产教结合的横向项目；获得5项（含）以上省部级及以上教学奖励、精品课程、卓越计划和通过专业认证；获得5项（含）以上省部级及以上科研奖励；师均年科研经费显著提升；各类教学科研平台质量显著提升，教学科研仪器设备、图书文献等资料总值明显提高。</w:t>
      </w:r>
    </w:p>
    <w:p w:rsidR="00E969C2" w:rsidRDefault="00E969C2">
      <w:pPr>
        <w:ind w:firstLineChars="200" w:firstLine="640"/>
        <w:jc w:val="left"/>
        <w:rPr>
          <w:rFonts w:ascii="仿宋_GB2312"/>
          <w:szCs w:val="32"/>
        </w:rPr>
      </w:pPr>
      <w:r>
        <w:rPr>
          <w:rFonts w:ascii="仿宋_GB2312" w:hint="eastAsia"/>
          <w:szCs w:val="32"/>
        </w:rPr>
        <w:t>到2020年，“生物与医药”学科群中“生物与医药”学位点各项建设指标基本满足国家学位授权审核申请基本条件；“健康管理”学科群中“公共管理”学位点各项建设指标基本满足国家学位授权审核申请基本条件；“医学技术”学科群中各学科、专业的教学科研成果明显增多，各级各类项目及到账经费显著增加，工程中心、工程实验室、工程技术研究中心等平台建设完善；“医疗服务”学科群中各学科、专业的教学科研成果明显增多，各级各类项目及到账经费显著增加，附属医院的建设稳步推进，以满足学科专业发展的基本条件。</w:t>
      </w:r>
    </w:p>
    <w:p w:rsidR="00E969C2" w:rsidRPr="007C0AEB" w:rsidRDefault="00E969C2" w:rsidP="007C0AEB">
      <w:pPr>
        <w:ind w:firstLineChars="200" w:firstLine="640"/>
        <w:jc w:val="left"/>
        <w:rPr>
          <w:rFonts w:ascii="黑体" w:eastAsia="黑体"/>
          <w:szCs w:val="32"/>
        </w:rPr>
      </w:pPr>
      <w:r w:rsidRPr="007C0AEB">
        <w:rPr>
          <w:rFonts w:ascii="黑体" w:eastAsia="黑体" w:hint="eastAsia"/>
          <w:szCs w:val="32"/>
        </w:rPr>
        <w:t>四、重点任务与主要举措</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（一）师资队伍建设</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1.重点任务</w:t>
      </w:r>
    </w:p>
    <w:p w:rsidR="00E969C2" w:rsidRDefault="00E969C2">
      <w:pPr>
        <w:ind w:firstLineChars="200" w:firstLine="640"/>
        <w:jc w:val="left"/>
        <w:rPr>
          <w:rFonts w:ascii="仿宋_GB2312" w:hAnsi="Calibri"/>
          <w:color w:val="000000" w:themeColor="text1"/>
          <w:szCs w:val="32"/>
        </w:rPr>
      </w:pPr>
      <w:r>
        <w:rPr>
          <w:rFonts w:ascii="仿宋_GB2312" w:hint="eastAsia"/>
          <w:color w:val="000000" w:themeColor="text1"/>
          <w:szCs w:val="32"/>
        </w:rPr>
        <w:t>到</w:t>
      </w:r>
      <w:r>
        <w:rPr>
          <w:rFonts w:ascii="仿宋_GB2312" w:hAnsi="Calibri" w:hint="eastAsia"/>
          <w:color w:val="000000" w:themeColor="text1"/>
          <w:szCs w:val="32"/>
        </w:rPr>
        <w:t>2020年，“生物与医药”学科群中行（企）</w:t>
      </w:r>
      <w:proofErr w:type="gramStart"/>
      <w:r>
        <w:rPr>
          <w:rFonts w:ascii="仿宋_GB2312" w:hAnsi="Calibri" w:hint="eastAsia"/>
          <w:color w:val="000000" w:themeColor="text1"/>
          <w:szCs w:val="32"/>
        </w:rPr>
        <w:t>业教师</w:t>
      </w:r>
      <w:proofErr w:type="gramEnd"/>
      <w:r>
        <w:rPr>
          <w:rFonts w:ascii="仿宋_GB2312" w:hAnsi="Calibri" w:hint="eastAsia"/>
          <w:color w:val="000000" w:themeColor="text1"/>
          <w:szCs w:val="32"/>
        </w:rPr>
        <w:t>人数不少于专任教师数的1/2</w:t>
      </w:r>
      <w:r>
        <w:rPr>
          <w:rFonts w:ascii="仿宋_GB2312" w:hAnsi="Calibri" w:hint="eastAsia"/>
          <w:szCs w:val="32"/>
        </w:rPr>
        <w:t>；具有实践经验的教师（具有职业资格证书或具备相应行业工作经验或承担过工程技术类课题）的比例不少于1/3；具有博士学位教师的比例不少于1/3；副高及以上职称骨干教师不少于5人；有不少于1/5的教</w:t>
      </w:r>
      <w:r>
        <w:rPr>
          <w:rFonts w:ascii="仿宋_GB2312" w:hAnsi="Calibri" w:hint="eastAsia"/>
          <w:color w:val="000000" w:themeColor="text1"/>
          <w:szCs w:val="32"/>
        </w:rPr>
        <w:t>师参与过本单位或其他单位工程硕士研究生的指导工作。</w:t>
      </w:r>
    </w:p>
    <w:p w:rsidR="00E969C2" w:rsidRDefault="00E969C2">
      <w:pPr>
        <w:ind w:firstLineChars="200" w:firstLine="640"/>
        <w:jc w:val="left"/>
        <w:rPr>
          <w:rFonts w:ascii="仿宋_GB2312"/>
          <w:color w:val="000000" w:themeColor="text1"/>
          <w:szCs w:val="32"/>
        </w:rPr>
      </w:pPr>
      <w:r>
        <w:rPr>
          <w:rFonts w:ascii="仿宋_GB2312" w:hint="eastAsia"/>
          <w:szCs w:val="32"/>
        </w:rPr>
        <w:t>到</w:t>
      </w:r>
      <w:r>
        <w:rPr>
          <w:rFonts w:ascii="仿宋_GB2312" w:hAnsi="Calibri" w:hint="eastAsia"/>
          <w:szCs w:val="32"/>
        </w:rPr>
        <w:t>2020年，</w:t>
      </w:r>
      <w:r>
        <w:rPr>
          <w:rFonts w:ascii="仿宋_GB2312" w:hint="eastAsia"/>
          <w:szCs w:val="32"/>
        </w:rPr>
        <w:t>“医学技术”学科群每个主干学科方向不少于15人；获硕士学位的比例不低于10%，获博士学位的比例不低于10%；至少有3名具备指导硕士生能力的副高级职称的学术带头人或学术骨干；骨干教师</w:t>
      </w:r>
      <w:r>
        <w:rPr>
          <w:rFonts w:ascii="仿宋_GB2312" w:hint="eastAsia"/>
          <w:color w:val="000000" w:themeColor="text1"/>
          <w:szCs w:val="32"/>
        </w:rPr>
        <w:t>中有技师职称的比例达到90%。</w:t>
      </w:r>
    </w:p>
    <w:p w:rsidR="00E969C2" w:rsidRDefault="00E969C2">
      <w:pPr>
        <w:ind w:firstLineChars="200" w:firstLine="640"/>
        <w:jc w:val="left"/>
        <w:rPr>
          <w:rFonts w:ascii="仿宋_GB2312"/>
          <w:color w:val="000000" w:themeColor="text1"/>
          <w:szCs w:val="32"/>
        </w:rPr>
      </w:pPr>
      <w:r>
        <w:rPr>
          <w:rFonts w:ascii="仿宋_GB2312" w:hint="eastAsia"/>
          <w:color w:val="000000" w:themeColor="text1"/>
          <w:szCs w:val="32"/>
        </w:rPr>
        <w:t>到</w:t>
      </w:r>
      <w:r>
        <w:rPr>
          <w:rFonts w:ascii="仿宋_GB2312" w:hAnsi="Calibri" w:hint="eastAsia"/>
          <w:color w:val="000000" w:themeColor="text1"/>
          <w:szCs w:val="32"/>
        </w:rPr>
        <w:t>2020年，</w:t>
      </w:r>
      <w:r>
        <w:rPr>
          <w:rFonts w:ascii="仿宋_GB2312" w:hint="eastAsia"/>
          <w:color w:val="000000" w:themeColor="text1"/>
          <w:szCs w:val="32"/>
        </w:rPr>
        <w:t>“健康管理”学科</w:t>
      </w:r>
      <w:proofErr w:type="gramStart"/>
      <w:r>
        <w:rPr>
          <w:rFonts w:ascii="仿宋_GB2312" w:hint="eastAsia"/>
          <w:color w:val="000000" w:themeColor="text1"/>
          <w:szCs w:val="32"/>
        </w:rPr>
        <w:t>群具备</w:t>
      </w:r>
      <w:proofErr w:type="gramEnd"/>
      <w:r>
        <w:rPr>
          <w:rFonts w:ascii="仿宋_GB2312" w:hint="eastAsia"/>
          <w:color w:val="000000" w:themeColor="text1"/>
          <w:szCs w:val="32"/>
        </w:rPr>
        <w:t>数量充足的“双师型”师资队伍；行业导师不少于15人；核心课程应配备至少2名具有博士学位或副教授以上职称的专任教师；具有</w:t>
      </w:r>
      <w:r>
        <w:rPr>
          <w:rFonts w:ascii="仿宋_GB2312" w:hint="eastAsia"/>
          <w:szCs w:val="32"/>
        </w:rPr>
        <w:t>公共管理及相近专业博士学位的教师比例</w:t>
      </w:r>
      <w:r>
        <w:rPr>
          <w:rFonts w:ascii="仿宋_GB2312" w:hAnsi="Calibri" w:hint="eastAsia"/>
          <w:szCs w:val="32"/>
        </w:rPr>
        <w:t>不少于1/4</w:t>
      </w:r>
      <w:r>
        <w:rPr>
          <w:rFonts w:ascii="仿宋_GB2312" w:hAnsi="Calibri" w:hint="eastAsia"/>
          <w:b/>
          <w:i/>
          <w:szCs w:val="32"/>
        </w:rPr>
        <w:t>，</w:t>
      </w:r>
      <w:r>
        <w:rPr>
          <w:rFonts w:ascii="仿宋_GB2312" w:hint="eastAsia"/>
          <w:color w:val="000000" w:themeColor="text1"/>
          <w:szCs w:val="32"/>
        </w:rPr>
        <w:t>具有实践经验（包括参与过实际部门工作或主持过相关横向研究项目）的比例不低于50%。</w:t>
      </w:r>
    </w:p>
    <w:p w:rsidR="00E969C2" w:rsidRDefault="00E969C2">
      <w:pPr>
        <w:ind w:firstLineChars="200" w:firstLine="640"/>
        <w:jc w:val="left"/>
        <w:rPr>
          <w:rFonts w:ascii="仿宋_GB2312"/>
          <w:color w:val="000000" w:themeColor="text1"/>
          <w:szCs w:val="32"/>
        </w:rPr>
      </w:pPr>
      <w:r>
        <w:rPr>
          <w:rFonts w:ascii="仿宋_GB2312" w:hint="eastAsia"/>
          <w:szCs w:val="32"/>
        </w:rPr>
        <w:t>按照国务院学位委员会要求，“医</w:t>
      </w:r>
      <w:r>
        <w:rPr>
          <w:rFonts w:ascii="仿宋_GB2312" w:hint="eastAsia"/>
          <w:color w:val="000000" w:themeColor="text1"/>
          <w:szCs w:val="32"/>
        </w:rPr>
        <w:t>疗服务”学科群中“申硕”必须拥有直属附属医院且拥有国家级住院医师规范化培训基地。师资队伍要求：从事临床医学教学工作的人员中，具有副主任医师并同时具有副教授（副研究员）以上职称的全职教师人数不</w:t>
      </w:r>
      <w:r>
        <w:rPr>
          <w:rFonts w:ascii="仿宋_GB2312" w:hint="eastAsia"/>
          <w:szCs w:val="32"/>
        </w:rPr>
        <w:t>低于60人；具有硕士学位者不低于80%；专业骨干教师整体数量应不少于30人（具</w:t>
      </w:r>
      <w:r>
        <w:rPr>
          <w:rFonts w:ascii="仿宋_GB2312" w:hint="eastAsia"/>
          <w:color w:val="000000" w:themeColor="text1"/>
          <w:szCs w:val="32"/>
        </w:rPr>
        <w:t>有较强的科研能力，获得过地市级以上人才称号；或在申请单位担任临床医学硕士研究生指导教师；或在其他高等学校担任临床医学硕士研究生指导教师；或在相关学术团体担任重要职务；或近5年主持过省部级科研项目至少1项）。</w:t>
      </w:r>
    </w:p>
    <w:p w:rsidR="00E969C2" w:rsidRPr="007C0AEB" w:rsidRDefault="00E969C2" w:rsidP="007C0AEB">
      <w:pPr>
        <w:ind w:firstLineChars="200" w:firstLine="640"/>
        <w:jc w:val="left"/>
        <w:rPr>
          <w:rFonts w:ascii="仿宋_GB2312"/>
          <w:color w:val="FF0000"/>
          <w:szCs w:val="32"/>
        </w:rPr>
      </w:pPr>
      <w:r w:rsidRPr="007C0AEB">
        <w:rPr>
          <w:rFonts w:ascii="仿宋_GB2312" w:hint="eastAsia"/>
          <w:szCs w:val="32"/>
        </w:rPr>
        <w:t>2.主要举措</w:t>
      </w:r>
    </w:p>
    <w:p w:rsidR="00E969C2" w:rsidRDefault="00E969C2">
      <w:pPr>
        <w:ind w:firstLineChars="200" w:firstLine="640"/>
        <w:jc w:val="left"/>
        <w:rPr>
          <w:rFonts w:ascii="仿宋_GB2312"/>
          <w:szCs w:val="32"/>
        </w:rPr>
      </w:pPr>
      <w:r>
        <w:rPr>
          <w:rFonts w:ascii="仿宋_GB2312" w:hint="eastAsia"/>
          <w:szCs w:val="32"/>
        </w:rPr>
        <w:t>（1）加大高层次人才引进和培养力度。紧密结合学校学科专业一体化发展和平台建设需求，重点培养和引进研究方向符合学校发展定位的应用型人才；推进教师队伍博士化进程，拓宽引进渠道，着重加强与区域经济发展密切结合的专业博士引进力度，加强医学背景专业博士引进力度。鼓励在职教师攻读博士学位，通过待遇和职称导向作用调动教师攻读博士学位积极性。</w:t>
      </w:r>
    </w:p>
    <w:p w:rsidR="00E969C2" w:rsidRDefault="00E969C2">
      <w:pPr>
        <w:ind w:firstLineChars="200" w:firstLine="640"/>
        <w:jc w:val="left"/>
        <w:rPr>
          <w:rFonts w:ascii="仿宋_GB2312"/>
          <w:szCs w:val="32"/>
        </w:rPr>
      </w:pPr>
      <w:r>
        <w:rPr>
          <w:rFonts w:ascii="仿宋_GB2312" w:hint="eastAsia"/>
          <w:szCs w:val="32"/>
        </w:rPr>
        <w:t>（2）强化校内培养，搭建青年教师发展良好环境。</w:t>
      </w:r>
      <w:r>
        <w:rPr>
          <w:rFonts w:ascii="仿宋_GB2312" w:hAnsi="Calibri" w:hint="eastAsia"/>
          <w:szCs w:val="32"/>
        </w:rPr>
        <w:t>实行青年教师导师制，为青年教师成长提供支持</w:t>
      </w:r>
      <w:r>
        <w:rPr>
          <w:rFonts w:ascii="仿宋_GB2312" w:hint="eastAsia"/>
          <w:szCs w:val="32"/>
        </w:rPr>
        <w:t>；</w:t>
      </w:r>
      <w:r>
        <w:rPr>
          <w:rFonts w:ascii="仿宋_GB2312" w:hAnsi="Calibri" w:hint="eastAsia"/>
          <w:szCs w:val="32"/>
        </w:rPr>
        <w:t>建立骨干教师选拔程序，全面拔高其综合素质、教学科研能力和知识创新能力</w:t>
      </w:r>
      <w:r>
        <w:rPr>
          <w:rFonts w:ascii="仿宋_GB2312" w:hint="eastAsia"/>
          <w:szCs w:val="32"/>
        </w:rPr>
        <w:t>；引导</w:t>
      </w:r>
      <w:r>
        <w:rPr>
          <w:rFonts w:ascii="仿宋_GB2312" w:hAnsi="Calibri" w:hint="eastAsia"/>
          <w:szCs w:val="32"/>
        </w:rPr>
        <w:t>青年教师走进行业企业岗位顶岗实践，开展技术研发和技术服务，或到校企合作单位指导实践教学</w:t>
      </w:r>
      <w:r>
        <w:rPr>
          <w:rFonts w:ascii="仿宋_GB2312" w:hint="eastAsia"/>
          <w:szCs w:val="32"/>
        </w:rPr>
        <w:t>，将科学研究中的问题与教学实践过程紧密结合，以科研促教学；鼓励优秀青年教师到国（境）外高水平大学和科研机构访问学习、开展合作研究，提高科学研究能力、开阔国际视野。</w:t>
      </w:r>
    </w:p>
    <w:p w:rsidR="00E969C2" w:rsidRDefault="00E969C2">
      <w:pPr>
        <w:ind w:firstLineChars="200" w:firstLine="640"/>
        <w:jc w:val="left"/>
        <w:rPr>
          <w:rFonts w:ascii="仿宋_GB2312"/>
          <w:szCs w:val="32"/>
        </w:rPr>
      </w:pPr>
      <w:r>
        <w:rPr>
          <w:rFonts w:ascii="仿宋_GB2312" w:hint="eastAsia"/>
          <w:szCs w:val="32"/>
        </w:rPr>
        <w:t>（3）加强双师型队伍建设。以校企合作为主要渠道，积极从行业、企业聘用高层次技术人才、管理人才等作为学科专业一体化建设的带头人。通过教学评价、绩效考核、职称评聘、薪酬激励、校企双向交流等制度改革，各项政策向双师</w:t>
      </w:r>
      <w:proofErr w:type="gramStart"/>
      <w:r>
        <w:rPr>
          <w:rFonts w:ascii="仿宋_GB2312" w:hint="eastAsia"/>
          <w:szCs w:val="32"/>
        </w:rPr>
        <w:t>型教师</w:t>
      </w:r>
      <w:proofErr w:type="gramEnd"/>
      <w:r>
        <w:rPr>
          <w:rFonts w:ascii="仿宋_GB2312" w:hint="eastAsia"/>
          <w:szCs w:val="32"/>
        </w:rPr>
        <w:t>倾斜，增强教师提高实践能力的主动性、积极性；加强教师跨学科素质培养，充分利用校企合作平台，通过顶岗工作、挂职锻炼等途径，加强专业集群建设背景下的双师型教学团队建设，构建纵向培养、横向交流、产教融合、科教融合的培养机制。</w:t>
      </w:r>
    </w:p>
    <w:p w:rsidR="00E969C2" w:rsidRDefault="00E969C2">
      <w:pPr>
        <w:ind w:firstLineChars="200" w:firstLine="640"/>
        <w:jc w:val="left"/>
        <w:rPr>
          <w:rFonts w:ascii="仿宋_GB2312" w:hAnsi="Calibri"/>
          <w:szCs w:val="32"/>
        </w:rPr>
      </w:pPr>
      <w:r>
        <w:rPr>
          <w:rFonts w:ascii="仿宋_GB2312" w:hAnsi="Calibri" w:hint="eastAsia"/>
          <w:szCs w:val="32"/>
        </w:rPr>
        <w:t>（4）科研教学队伍一体化建设。以本科专业（主要是二级学科）或专业方向为依托，组建科研团队，建设学术梯队。学科带头人身兼二职，既是学科带头人，也是专业带头人。科研课题要聚焦于专业建设亟须解决的问题。使学科建设的成果能够及时转化为专业建设的资源；教学骨干教师也应是科研骨干教师，同时承担教学科研任务，产出教学科研成果。</w:t>
      </w:r>
    </w:p>
    <w:p w:rsidR="00E969C2" w:rsidRDefault="00E969C2">
      <w:pPr>
        <w:ind w:firstLineChars="200" w:firstLine="640"/>
        <w:jc w:val="left"/>
        <w:rPr>
          <w:rFonts w:ascii="仿宋_GB2312" w:hAnsi="Calibri"/>
          <w:szCs w:val="32"/>
        </w:rPr>
      </w:pPr>
      <w:r>
        <w:rPr>
          <w:rFonts w:ascii="仿宋_GB2312" w:hAnsi="Calibri" w:hint="eastAsia"/>
          <w:szCs w:val="32"/>
        </w:rPr>
        <w:t>（5）改革教师职称分类评审制度。</w:t>
      </w:r>
      <w:r>
        <w:rPr>
          <w:rFonts w:ascii="仿宋_GB2312" w:hint="eastAsia"/>
          <w:color w:val="000000"/>
          <w:sz w:val="30"/>
          <w:szCs w:val="30"/>
        </w:rPr>
        <w:t>为</w:t>
      </w:r>
      <w:r>
        <w:rPr>
          <w:rFonts w:ascii="仿宋_GB2312" w:hAnsi="微软雅黑" w:hint="eastAsia"/>
          <w:color w:val="000000"/>
          <w:szCs w:val="32"/>
        </w:rPr>
        <w:t>建设有利于优秀教师成长的制度环境，激励教师提高业务水平，创造高水平教学、科研业</w:t>
      </w:r>
      <w:r w:rsidRPr="00DD14BB">
        <w:rPr>
          <w:rFonts w:ascii="仿宋_GB2312" w:hAnsi="微软雅黑" w:hint="eastAsia"/>
          <w:color w:val="000000"/>
          <w:szCs w:val="32"/>
        </w:rPr>
        <w:t>绩，</w:t>
      </w:r>
      <w:r w:rsidRPr="00DD14BB">
        <w:rPr>
          <w:rFonts w:ascii="仿宋_GB2312" w:hAnsi="微软雅黑" w:hint="eastAsia"/>
          <w:bCs/>
          <w:szCs w:val="32"/>
        </w:rPr>
        <w:t>教师工作量的认定分为教学、科研两方面，承认教师的教学、科研工作量</w:t>
      </w:r>
      <w:r w:rsidRPr="00DD14BB">
        <w:rPr>
          <w:rFonts w:ascii="仿宋_GB2312" w:hAnsi="Calibri" w:hint="eastAsia"/>
          <w:bCs/>
          <w:szCs w:val="32"/>
        </w:rPr>
        <w:t>；</w:t>
      </w:r>
      <w:r w:rsidRPr="00DD14BB">
        <w:rPr>
          <w:rFonts w:ascii="仿宋_GB2312" w:hint="eastAsia"/>
          <w:color w:val="000000"/>
          <w:szCs w:val="32"/>
        </w:rPr>
        <w:t>教师专业技术职务评审和聘任坚持岗位总量、结构比例控制与</w:t>
      </w:r>
      <w:r>
        <w:rPr>
          <w:rFonts w:ascii="仿宋_GB2312" w:hint="eastAsia"/>
          <w:color w:val="000000"/>
          <w:szCs w:val="32"/>
        </w:rPr>
        <w:t>专业、学科发展需要相结合，坚持评审与聘任相统一，坚持师德、能力、业绩、贡献综合评价的原则，坚持公开、公平、竞争、择优评审的原</w:t>
      </w:r>
      <w:r>
        <w:rPr>
          <w:rFonts w:ascii="仿宋_GB2312" w:hint="eastAsia"/>
          <w:color w:val="000000"/>
          <w:sz w:val="30"/>
          <w:szCs w:val="30"/>
        </w:rPr>
        <w:t>则。</w:t>
      </w:r>
    </w:p>
    <w:p w:rsidR="00E969C2" w:rsidRPr="007C0AEB" w:rsidRDefault="00E969C2" w:rsidP="007C0AEB">
      <w:pPr>
        <w:numPr>
          <w:ilvl w:val="0"/>
          <w:numId w:val="1"/>
        </w:numPr>
        <w:ind w:firstLineChars="200" w:firstLine="640"/>
        <w:jc w:val="left"/>
        <w:rPr>
          <w:rFonts w:ascii="楷体_GB2312" w:eastAsia="楷体_GB2312"/>
          <w:szCs w:val="32"/>
        </w:rPr>
      </w:pPr>
      <w:r w:rsidRPr="007C0AEB">
        <w:rPr>
          <w:rFonts w:ascii="楷体_GB2312" w:eastAsia="楷体_GB2312" w:hint="eastAsia"/>
          <w:szCs w:val="32"/>
        </w:rPr>
        <w:t>产学研融合、协同育人</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1.重点任务</w:t>
      </w:r>
    </w:p>
    <w:p w:rsidR="00E969C2" w:rsidRDefault="00E969C2">
      <w:pPr>
        <w:ind w:firstLineChars="200" w:firstLine="640"/>
        <w:jc w:val="left"/>
        <w:rPr>
          <w:rFonts w:ascii="仿宋_GB2312"/>
          <w:szCs w:val="32"/>
        </w:rPr>
      </w:pPr>
      <w:r>
        <w:rPr>
          <w:rFonts w:ascii="仿宋_GB2312" w:hint="eastAsia"/>
          <w:szCs w:val="32"/>
        </w:rPr>
        <w:t>到2020年，“产学研融合、协同育人”人才培养模式更加完善；学科建设服务应用型人才培养效能显著提升，承担5项（含）</w:t>
      </w:r>
      <w:proofErr w:type="gramStart"/>
      <w:r>
        <w:rPr>
          <w:rFonts w:ascii="仿宋_GB2312" w:hint="eastAsia"/>
          <w:szCs w:val="32"/>
        </w:rPr>
        <w:t>以上政</w:t>
      </w:r>
      <w:proofErr w:type="gramEnd"/>
      <w:r>
        <w:rPr>
          <w:rFonts w:ascii="仿宋_GB2312" w:hint="eastAsia"/>
          <w:szCs w:val="32"/>
        </w:rPr>
        <w:t>产学研用结合的横向项目；学生实践能力显著加强；学生创新创业能力显著提高；初次就业率达到95%；专业对口就业率达到85%；用人单位评价优秀率明显提升。</w:t>
      </w:r>
    </w:p>
    <w:p w:rsidR="00E969C2" w:rsidRPr="007C0AEB" w:rsidRDefault="00E969C2" w:rsidP="007C0AEB">
      <w:pPr>
        <w:ind w:left="640"/>
        <w:jc w:val="left"/>
        <w:rPr>
          <w:rFonts w:ascii="仿宋_GB2312"/>
          <w:szCs w:val="32"/>
        </w:rPr>
      </w:pPr>
      <w:r>
        <w:rPr>
          <w:rFonts w:ascii="仿宋_GB2312" w:hint="eastAsia"/>
          <w:szCs w:val="32"/>
        </w:rPr>
        <w:t>2.</w:t>
      </w:r>
      <w:r w:rsidRPr="007C0AEB">
        <w:rPr>
          <w:rFonts w:ascii="仿宋_GB2312" w:hint="eastAsia"/>
          <w:szCs w:val="32"/>
        </w:rPr>
        <w:t>主要举措</w:t>
      </w:r>
    </w:p>
    <w:p w:rsidR="00E969C2" w:rsidRDefault="00E969C2" w:rsidP="00E969C2">
      <w:pPr>
        <w:numPr>
          <w:ilvl w:val="0"/>
          <w:numId w:val="2"/>
        </w:numPr>
        <w:ind w:firstLineChars="200" w:firstLine="640"/>
        <w:jc w:val="left"/>
        <w:rPr>
          <w:rFonts w:ascii="仿宋_GB2312"/>
          <w:szCs w:val="32"/>
        </w:rPr>
      </w:pPr>
      <w:r>
        <w:rPr>
          <w:rFonts w:ascii="仿宋_GB2312" w:hint="eastAsia"/>
          <w:szCs w:val="32"/>
        </w:rPr>
        <w:t>加强“产学研融合、协同育人”人才培养模式改革。通过学科群、专业群与创新链、产业链的对接，科研教学过程与生产过程的对接，专业课程内容与行业职业标准对接，学科专业要求与企业岗位技能要求对接；主动融入区域产业转型升级，整合政府、行业企业、科研机构、高校等各种资源，开展五位一体的“产学研一体化”实践。</w:t>
      </w:r>
    </w:p>
    <w:p w:rsidR="00E969C2" w:rsidRDefault="00E969C2">
      <w:pPr>
        <w:ind w:firstLineChars="200" w:firstLine="640"/>
        <w:jc w:val="left"/>
        <w:rPr>
          <w:rFonts w:ascii="仿宋_GB2312"/>
          <w:szCs w:val="32"/>
        </w:rPr>
      </w:pPr>
      <w:r>
        <w:rPr>
          <w:rFonts w:ascii="仿宋_GB2312" w:hint="eastAsia"/>
          <w:szCs w:val="32"/>
        </w:rPr>
        <w:t>（2）搭建协同创新平台，拓宽人才培养的途径。与国内外的行业、企业、科研院所等共同成立协同创新联盟，共建跨学科专业、跨院（系、部）的实验实训室（中心），促进学科专业交叉，培养创新型人才。</w:t>
      </w:r>
    </w:p>
    <w:p w:rsidR="00E969C2" w:rsidRDefault="00E969C2" w:rsidP="00003667">
      <w:pPr>
        <w:ind w:firstLineChars="200" w:firstLine="640"/>
        <w:jc w:val="left"/>
        <w:rPr>
          <w:rFonts w:ascii="仿宋_GB2312"/>
          <w:szCs w:val="32"/>
        </w:rPr>
      </w:pPr>
      <w:r>
        <w:rPr>
          <w:rFonts w:ascii="仿宋_GB2312" w:hint="eastAsia"/>
          <w:szCs w:val="32"/>
        </w:rPr>
        <w:t>（3）科教融合，搭建大学生双创园区，支撑“双创”人才培养。充分发挥科研支撑教学的作用；将学科专业建设和创业教育有机结合，通过科教融合的模式培养创新创业型人才，通过招聘学生助理、组建团队等多种模式，全面提高学生的实践能力和创新创业能力。</w:t>
      </w:r>
      <w:proofErr w:type="gramStart"/>
      <w:r>
        <w:rPr>
          <w:rFonts w:ascii="仿宋_GB2312" w:hint="eastAsia"/>
          <w:szCs w:val="32"/>
        </w:rPr>
        <w:t>引企入校</w:t>
      </w:r>
      <w:proofErr w:type="gramEnd"/>
      <w:r>
        <w:rPr>
          <w:rFonts w:ascii="仿宋_GB2312"/>
          <w:szCs w:val="32"/>
        </w:rPr>
        <w:t>，联合组建产学协同创新体，探索专业对接产(行)业</w:t>
      </w:r>
      <w:r>
        <w:rPr>
          <w:rFonts w:ascii="仿宋_GB2312" w:hint="eastAsia"/>
          <w:szCs w:val="32"/>
        </w:rPr>
        <w:t>，“</w:t>
      </w:r>
      <w:r>
        <w:rPr>
          <w:rFonts w:ascii="仿宋_GB2312"/>
          <w:szCs w:val="32"/>
        </w:rPr>
        <w:t>教学做评</w:t>
      </w:r>
      <w:r>
        <w:rPr>
          <w:rFonts w:ascii="仿宋_GB2312" w:hint="eastAsia"/>
          <w:szCs w:val="32"/>
        </w:rPr>
        <w:t>”</w:t>
      </w:r>
      <w:r>
        <w:rPr>
          <w:rFonts w:ascii="仿宋_GB2312"/>
          <w:szCs w:val="32"/>
        </w:rPr>
        <w:t>紧密衔接，带动和引领转型</w:t>
      </w:r>
      <w:r>
        <w:rPr>
          <w:rFonts w:ascii="仿宋_GB2312" w:hint="eastAsia"/>
          <w:szCs w:val="32"/>
        </w:rPr>
        <w:t>发展</w:t>
      </w:r>
      <w:r>
        <w:rPr>
          <w:rFonts w:ascii="仿宋_GB2312"/>
          <w:szCs w:val="32"/>
        </w:rPr>
        <w:t>。通过在真实情景中做真实项目，促进培养目标全面实现</w:t>
      </w:r>
      <w:r>
        <w:rPr>
          <w:rFonts w:ascii="仿宋_GB2312" w:hint="eastAsia"/>
          <w:szCs w:val="32"/>
        </w:rPr>
        <w:t>；</w:t>
      </w:r>
      <w:r>
        <w:rPr>
          <w:rFonts w:ascii="仿宋_GB2312"/>
          <w:szCs w:val="32"/>
        </w:rPr>
        <w:t>通过专业创造价值，助</w:t>
      </w:r>
      <w:proofErr w:type="gramStart"/>
      <w:r>
        <w:rPr>
          <w:rFonts w:ascii="仿宋_GB2312"/>
          <w:szCs w:val="32"/>
        </w:rPr>
        <w:t>推地方</w:t>
      </w:r>
      <w:proofErr w:type="gramEnd"/>
      <w:r>
        <w:rPr>
          <w:rFonts w:ascii="仿宋_GB2312"/>
          <w:szCs w:val="32"/>
        </w:rPr>
        <w:t>经济社会发展。</w:t>
      </w:r>
    </w:p>
    <w:p w:rsidR="00E969C2" w:rsidRDefault="00E969C2">
      <w:pPr>
        <w:ind w:firstLineChars="200" w:firstLine="640"/>
        <w:jc w:val="left"/>
        <w:rPr>
          <w:rFonts w:ascii="仿宋_GB2312"/>
          <w:szCs w:val="32"/>
        </w:rPr>
      </w:pPr>
      <w:r>
        <w:rPr>
          <w:rFonts w:ascii="仿宋_GB2312" w:hint="eastAsia"/>
          <w:szCs w:val="32"/>
        </w:rPr>
        <w:t>（4）加强校企融合发展，注重学生实践能力培养。以</w:t>
      </w:r>
      <w:proofErr w:type="gramStart"/>
      <w:r>
        <w:rPr>
          <w:rFonts w:ascii="仿宋_GB2312" w:hint="eastAsia"/>
          <w:szCs w:val="32"/>
        </w:rPr>
        <w:t>引企驻</w:t>
      </w:r>
      <w:proofErr w:type="gramEnd"/>
      <w:r>
        <w:rPr>
          <w:rFonts w:ascii="仿宋_GB2312" w:hint="eastAsia"/>
          <w:szCs w:val="32"/>
        </w:rPr>
        <w:t>校、</w:t>
      </w:r>
      <w:proofErr w:type="gramStart"/>
      <w:r>
        <w:rPr>
          <w:rFonts w:ascii="仿宋_GB2312" w:hint="eastAsia"/>
          <w:szCs w:val="32"/>
        </w:rPr>
        <w:t>引校进企</w:t>
      </w:r>
      <w:proofErr w:type="gramEnd"/>
      <w:r>
        <w:rPr>
          <w:rFonts w:ascii="仿宋_GB2312" w:hint="eastAsia"/>
          <w:szCs w:val="32"/>
        </w:rPr>
        <w:t>、校企一体等方式，吸引行业组织或优秀企业与学校共建共享生产性实训基地，将实验教学、课程设计、毕业论文（设计）、见（实）</w:t>
      </w:r>
      <w:proofErr w:type="gramStart"/>
      <w:r>
        <w:rPr>
          <w:rFonts w:ascii="仿宋_GB2312" w:hint="eastAsia"/>
          <w:szCs w:val="32"/>
        </w:rPr>
        <w:t>习等实践</w:t>
      </w:r>
      <w:proofErr w:type="gramEnd"/>
      <w:r>
        <w:rPr>
          <w:rFonts w:ascii="仿宋_GB2312" w:hint="eastAsia"/>
          <w:szCs w:val="32"/>
        </w:rPr>
        <w:t>教学环节融入企业元素，将通用职业能力与专业职业能力培养相结合，构建覆盖学生学习全程的实践教学体系。</w:t>
      </w:r>
    </w:p>
    <w:p w:rsidR="00E969C2" w:rsidRPr="007C0AEB" w:rsidRDefault="00E969C2" w:rsidP="007C0AEB">
      <w:pPr>
        <w:numPr>
          <w:ilvl w:val="0"/>
          <w:numId w:val="1"/>
        </w:numPr>
        <w:ind w:firstLineChars="200" w:firstLine="640"/>
        <w:jc w:val="left"/>
        <w:rPr>
          <w:rFonts w:ascii="楷体_GB2312" w:eastAsia="楷体_GB2312"/>
          <w:szCs w:val="32"/>
        </w:rPr>
      </w:pPr>
      <w:r w:rsidRPr="007C0AEB">
        <w:rPr>
          <w:rFonts w:ascii="楷体_GB2312" w:eastAsia="楷体_GB2312" w:hint="eastAsia"/>
          <w:szCs w:val="32"/>
        </w:rPr>
        <w:t>科学研究</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1.重点任务</w:t>
      </w:r>
    </w:p>
    <w:p w:rsidR="00E969C2" w:rsidRPr="00003667" w:rsidRDefault="00E969C2" w:rsidP="00003667">
      <w:pPr>
        <w:ind w:firstLineChars="200" w:firstLine="640"/>
        <w:rPr>
          <w:rFonts w:ascii="仿宋_GB2312" w:hAnsi="Calibri"/>
          <w:szCs w:val="32"/>
        </w:rPr>
      </w:pPr>
      <w:r w:rsidRPr="00003667">
        <w:rPr>
          <w:rFonts w:ascii="仿宋_GB2312" w:hint="eastAsia"/>
          <w:szCs w:val="32"/>
        </w:rPr>
        <w:t>到</w:t>
      </w:r>
      <w:r w:rsidRPr="00003667">
        <w:rPr>
          <w:rFonts w:ascii="仿宋_GB2312" w:hAnsi="Calibri" w:hint="eastAsia"/>
          <w:szCs w:val="32"/>
        </w:rPr>
        <w:t>2020年，“生物与医药”学科</w:t>
      </w:r>
      <w:proofErr w:type="gramStart"/>
      <w:r w:rsidRPr="00003667">
        <w:rPr>
          <w:rFonts w:ascii="仿宋_GB2312" w:hAnsi="Calibri" w:hint="eastAsia"/>
          <w:szCs w:val="32"/>
        </w:rPr>
        <w:t>群研究</w:t>
      </w:r>
      <w:proofErr w:type="gramEnd"/>
      <w:r w:rsidRPr="00003667">
        <w:rPr>
          <w:rFonts w:ascii="仿宋_GB2312" w:hAnsi="Calibri" w:hint="eastAsia"/>
          <w:szCs w:val="32"/>
        </w:rPr>
        <w:t>方向达3个</w:t>
      </w:r>
      <w:r w:rsidRPr="00003667">
        <w:rPr>
          <w:rFonts w:ascii="仿宋_GB2312" w:hint="eastAsia"/>
          <w:szCs w:val="32"/>
        </w:rPr>
        <w:t>以上，以生殖干细胞与</w:t>
      </w:r>
      <w:r w:rsidRPr="00003667">
        <w:rPr>
          <w:rFonts w:ascii="仿宋_GB2312" w:hAnsi="Calibri" w:hint="eastAsia"/>
          <w:szCs w:val="32"/>
        </w:rPr>
        <w:t>生育力保存、新药研发及制备工艺、肿瘤机制与分子免疫、新型生物医学材料等研究方向为重点，每个研究方向有1-2名高水平学术带头人；</w:t>
      </w:r>
      <w:r w:rsidRPr="00003667">
        <w:rPr>
          <w:rFonts w:ascii="仿宋_GB2312" w:hint="eastAsia"/>
          <w:szCs w:val="32"/>
        </w:rPr>
        <w:t>承担省部级及以上科研课题达10项；承担横向课题多项；SCI论文数量达10篇；拥有多项发明专利</w:t>
      </w:r>
      <w:r w:rsidRPr="00003667">
        <w:rPr>
          <w:rFonts w:ascii="仿宋_GB2312" w:hAnsi="Calibri" w:hint="eastAsia"/>
          <w:szCs w:val="32"/>
        </w:rPr>
        <w:t>；获批省部级、地厅级科技成果奖达10项。</w:t>
      </w:r>
    </w:p>
    <w:p w:rsidR="00E969C2" w:rsidRDefault="00E969C2" w:rsidP="00003667">
      <w:pPr>
        <w:ind w:firstLineChars="200" w:firstLine="640"/>
        <w:jc w:val="left"/>
        <w:rPr>
          <w:rFonts w:ascii="仿宋_GB2312" w:hAnsi="Calibri"/>
          <w:szCs w:val="32"/>
        </w:rPr>
      </w:pPr>
      <w:r w:rsidRPr="00003667">
        <w:rPr>
          <w:rFonts w:ascii="仿宋_GB2312" w:hAnsi="Calibri" w:hint="eastAsia"/>
          <w:szCs w:val="32"/>
        </w:rPr>
        <w:t>到2020年，“健康管理”学科</w:t>
      </w:r>
      <w:proofErr w:type="gramStart"/>
      <w:r w:rsidRPr="00003667">
        <w:rPr>
          <w:rFonts w:ascii="仿宋_GB2312" w:hAnsi="Calibri" w:hint="eastAsia"/>
          <w:szCs w:val="32"/>
        </w:rPr>
        <w:t>群研究</w:t>
      </w:r>
      <w:proofErr w:type="gramEnd"/>
      <w:r w:rsidRPr="00003667">
        <w:rPr>
          <w:rFonts w:ascii="仿宋_GB2312" w:hAnsi="Calibri" w:hint="eastAsia"/>
          <w:szCs w:val="32"/>
        </w:rPr>
        <w:t>方向达3个（含）以上，</w:t>
      </w:r>
      <w:r w:rsidRPr="00003667">
        <w:rPr>
          <w:rFonts w:ascii="仿宋_GB2312" w:hint="eastAsia"/>
          <w:szCs w:val="32"/>
        </w:rPr>
        <w:t>以</w:t>
      </w:r>
      <w:proofErr w:type="gramStart"/>
      <w:r w:rsidRPr="00003667">
        <w:rPr>
          <w:rFonts w:ascii="仿宋_GB2312" w:hAnsi="Calibri" w:hint="eastAsia"/>
          <w:szCs w:val="32"/>
        </w:rPr>
        <w:t>医</w:t>
      </w:r>
      <w:proofErr w:type="gramEnd"/>
      <w:r w:rsidRPr="00003667">
        <w:rPr>
          <w:rFonts w:ascii="仿宋_GB2312" w:hAnsi="Calibri" w:hint="eastAsia"/>
          <w:szCs w:val="32"/>
        </w:rPr>
        <w:t>养结合、医院管理效能、基层健康服务与管理等研究方向为重点，每个研究方向有1-2名高水平学术带头人；</w:t>
      </w:r>
      <w:r w:rsidRPr="00003667">
        <w:rPr>
          <w:rFonts w:ascii="仿宋_GB2312" w:hint="eastAsia"/>
          <w:szCs w:val="32"/>
        </w:rPr>
        <w:t>承担省部级及以上科研课题达3项；承担横向</w:t>
      </w:r>
      <w:r>
        <w:rPr>
          <w:rFonts w:ascii="仿宋_GB2312" w:hint="eastAsia"/>
          <w:szCs w:val="32"/>
        </w:rPr>
        <w:t>课题多项；SCI、SSCI、CSSCI、CSCD等论文数量达5篇；</w:t>
      </w:r>
      <w:r>
        <w:rPr>
          <w:rFonts w:ascii="仿宋_GB2312" w:hAnsi="Calibri" w:hint="eastAsia"/>
          <w:szCs w:val="32"/>
        </w:rPr>
        <w:t>获批地厅级科技成果奖</w:t>
      </w:r>
      <w:r>
        <w:rPr>
          <w:rFonts w:ascii="仿宋_GB2312" w:hint="eastAsia"/>
          <w:szCs w:val="32"/>
        </w:rPr>
        <w:t>达</w:t>
      </w:r>
      <w:r>
        <w:rPr>
          <w:rFonts w:ascii="仿宋_GB2312" w:hAnsi="Calibri" w:hint="eastAsia"/>
          <w:szCs w:val="32"/>
        </w:rPr>
        <w:t>5项；至少建设3个校级特色的公共管理专业学位教学案例。</w:t>
      </w:r>
    </w:p>
    <w:p w:rsidR="00E969C2" w:rsidRPr="00003667" w:rsidRDefault="00E969C2" w:rsidP="007F7F54">
      <w:pPr>
        <w:ind w:firstLineChars="200" w:firstLine="640"/>
        <w:rPr>
          <w:rFonts w:ascii="仿宋_GB2312" w:hAnsi="Calibri"/>
          <w:color w:val="FF0000"/>
          <w:szCs w:val="32"/>
        </w:rPr>
      </w:pPr>
      <w:r>
        <w:rPr>
          <w:rFonts w:ascii="仿宋_GB2312" w:hint="eastAsia"/>
          <w:szCs w:val="32"/>
        </w:rPr>
        <w:t>到</w:t>
      </w:r>
      <w:r>
        <w:rPr>
          <w:rFonts w:ascii="仿宋_GB2312" w:hAnsi="Calibri" w:hint="eastAsia"/>
          <w:szCs w:val="32"/>
        </w:rPr>
        <w:t>2020年，</w:t>
      </w:r>
      <w:r>
        <w:rPr>
          <w:rFonts w:ascii="仿宋_GB2312" w:hint="eastAsia"/>
          <w:szCs w:val="32"/>
        </w:rPr>
        <w:t>“医学技术”学科群主干学科达3个（含）以上</w:t>
      </w:r>
      <w:r w:rsidRPr="00003667">
        <w:rPr>
          <w:rFonts w:ascii="仿宋_GB2312" w:hint="eastAsia"/>
          <w:szCs w:val="32"/>
        </w:rPr>
        <w:t>。</w:t>
      </w:r>
      <w:r>
        <w:rPr>
          <w:rFonts w:ascii="仿宋_GB2312" w:hint="eastAsia"/>
          <w:szCs w:val="32"/>
        </w:rPr>
        <w:t>生物医学工程（智能医学工程）专业人工智能学科以智能医学为主要研究方向；</w:t>
      </w:r>
      <w:r w:rsidRPr="00003667">
        <w:rPr>
          <w:rFonts w:ascii="仿宋_GB2312" w:hint="eastAsia"/>
          <w:szCs w:val="32"/>
        </w:rPr>
        <w:t>医学检验技术以</w:t>
      </w:r>
      <w:r w:rsidRPr="007F7F54">
        <w:rPr>
          <w:rFonts w:ascii="仿宋_GB2312" w:hint="eastAsia"/>
          <w:szCs w:val="32"/>
        </w:rPr>
        <w:t>微生物与免疫检验</w:t>
      </w:r>
      <w:r w:rsidRPr="00003667">
        <w:rPr>
          <w:rFonts w:ascii="仿宋_GB2312" w:hint="eastAsia"/>
          <w:szCs w:val="32"/>
        </w:rPr>
        <w:t>为</w:t>
      </w:r>
      <w:r>
        <w:rPr>
          <w:rFonts w:ascii="仿宋_GB2312" w:hint="eastAsia"/>
          <w:szCs w:val="32"/>
        </w:rPr>
        <w:t>主要</w:t>
      </w:r>
      <w:r w:rsidRPr="00003667">
        <w:rPr>
          <w:rFonts w:ascii="仿宋_GB2312" w:hint="eastAsia"/>
          <w:szCs w:val="32"/>
        </w:rPr>
        <w:t>研究方向</w:t>
      </w:r>
      <w:r>
        <w:rPr>
          <w:rFonts w:ascii="仿宋_GB2312" w:hint="eastAsia"/>
          <w:szCs w:val="32"/>
        </w:rPr>
        <w:t>；</w:t>
      </w:r>
      <w:r w:rsidRPr="00003667">
        <w:rPr>
          <w:rFonts w:ascii="仿宋_GB2312" w:hint="eastAsia"/>
          <w:szCs w:val="32"/>
        </w:rPr>
        <w:t>医学影像技术以医学影像与人工智能</w:t>
      </w:r>
      <w:r>
        <w:rPr>
          <w:rFonts w:ascii="仿宋_GB2312" w:hint="eastAsia"/>
          <w:szCs w:val="32"/>
        </w:rPr>
        <w:t>为主要研究方向。</w:t>
      </w:r>
      <w:r w:rsidRPr="00003667">
        <w:rPr>
          <w:rFonts w:ascii="仿宋_GB2312" w:hAnsi="Calibri" w:hint="eastAsia"/>
          <w:szCs w:val="32"/>
        </w:rPr>
        <w:t>每个研究方向</w:t>
      </w:r>
      <w:r>
        <w:rPr>
          <w:rFonts w:ascii="仿宋_GB2312" w:hAnsi="Calibri" w:hint="eastAsia"/>
          <w:szCs w:val="32"/>
        </w:rPr>
        <w:t>须</w:t>
      </w:r>
      <w:r w:rsidRPr="00003667">
        <w:rPr>
          <w:rFonts w:ascii="仿宋_GB2312" w:hAnsi="Calibri" w:hint="eastAsia"/>
          <w:szCs w:val="32"/>
        </w:rPr>
        <w:t>有1-2名高水平学术带头人。</w:t>
      </w:r>
      <w:r w:rsidRPr="00003667">
        <w:rPr>
          <w:rFonts w:ascii="仿宋_GB2312" w:hint="eastAsia"/>
          <w:szCs w:val="32"/>
        </w:rPr>
        <w:t>承担省部级及以上科研课题达5项；承担横向课题多项；SCI论文数量达5篇；拥有多项发明专利</w:t>
      </w:r>
      <w:r w:rsidRPr="00003667">
        <w:rPr>
          <w:rFonts w:ascii="仿宋_GB2312" w:hAnsi="Calibri" w:hint="eastAsia"/>
          <w:szCs w:val="32"/>
        </w:rPr>
        <w:t>；获批地厅级科技成果奖</w:t>
      </w:r>
      <w:r>
        <w:rPr>
          <w:rFonts w:ascii="仿宋_GB2312" w:hAnsi="Calibri" w:hint="eastAsia"/>
          <w:szCs w:val="32"/>
        </w:rPr>
        <w:t>达</w:t>
      </w:r>
      <w:r w:rsidRPr="00003667">
        <w:rPr>
          <w:rFonts w:ascii="仿宋_GB2312" w:hAnsi="Calibri" w:hint="eastAsia"/>
          <w:szCs w:val="32"/>
        </w:rPr>
        <w:t>5项。</w:t>
      </w:r>
    </w:p>
    <w:p w:rsidR="00E969C2" w:rsidRDefault="00E969C2" w:rsidP="00003667">
      <w:pPr>
        <w:ind w:firstLineChars="200" w:firstLine="640"/>
        <w:jc w:val="left"/>
        <w:rPr>
          <w:rFonts w:ascii="仿宋_GB2312" w:hAnsi="Calibri"/>
          <w:szCs w:val="32"/>
        </w:rPr>
      </w:pPr>
      <w:r w:rsidRPr="00003667">
        <w:rPr>
          <w:rFonts w:ascii="仿宋_GB2312" w:hAnsi="Calibri" w:hint="eastAsia"/>
          <w:szCs w:val="32"/>
        </w:rPr>
        <w:t>到2020年，“医疗服务”学科群以</w:t>
      </w:r>
      <w:r>
        <w:rPr>
          <w:rFonts w:ascii="仿宋_GB2312" w:hAnsi="Calibri" w:hint="eastAsia"/>
          <w:szCs w:val="32"/>
        </w:rPr>
        <w:t>社区护理模式及健康管理和</w:t>
      </w:r>
      <w:r w:rsidRPr="00003667">
        <w:rPr>
          <w:rFonts w:ascii="仿宋_GB2312" w:hAnsi="Calibri"/>
          <w:szCs w:val="32"/>
        </w:rPr>
        <w:t>基因检测与新生儿疾病筛查</w:t>
      </w:r>
      <w:r w:rsidRPr="00003667">
        <w:rPr>
          <w:rFonts w:ascii="仿宋_GB2312" w:hAnsi="Calibri" w:hint="eastAsia"/>
          <w:szCs w:val="32"/>
        </w:rPr>
        <w:t>研究方向为重点，每个研究方向</w:t>
      </w:r>
      <w:r>
        <w:rPr>
          <w:rFonts w:ascii="仿宋_GB2312" w:hAnsi="Calibri" w:hint="eastAsia"/>
          <w:szCs w:val="32"/>
        </w:rPr>
        <w:t>须</w:t>
      </w:r>
      <w:r w:rsidRPr="00003667">
        <w:rPr>
          <w:rFonts w:ascii="仿宋_GB2312" w:hAnsi="Calibri" w:hint="eastAsia"/>
          <w:szCs w:val="32"/>
        </w:rPr>
        <w:t>有1-2名高水平学术带头人；</w:t>
      </w:r>
      <w:r w:rsidRPr="00003667">
        <w:rPr>
          <w:rFonts w:ascii="仿宋_GB2312" w:hint="eastAsia"/>
          <w:szCs w:val="32"/>
        </w:rPr>
        <w:t>承担省部级及以上</w:t>
      </w:r>
      <w:r>
        <w:rPr>
          <w:rFonts w:ascii="仿宋_GB2312" w:hint="eastAsia"/>
          <w:szCs w:val="32"/>
        </w:rPr>
        <w:t>科研课题达2项；SCI、SSCI、CSSCI、CSCD等级别论文数量达5篇；</w:t>
      </w:r>
      <w:r>
        <w:rPr>
          <w:rFonts w:ascii="仿宋_GB2312" w:hAnsi="Calibri" w:hint="eastAsia"/>
          <w:szCs w:val="32"/>
        </w:rPr>
        <w:t>获批地厅级科技成果奖达5项。</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2</w:t>
      </w:r>
      <w:r>
        <w:rPr>
          <w:rFonts w:ascii="仿宋_GB2312" w:hint="eastAsia"/>
          <w:szCs w:val="32"/>
        </w:rPr>
        <w:t>.</w:t>
      </w:r>
      <w:r w:rsidRPr="007C0AEB">
        <w:rPr>
          <w:rFonts w:ascii="仿宋_GB2312" w:hint="eastAsia"/>
          <w:szCs w:val="32"/>
        </w:rPr>
        <w:t>主要举措</w:t>
      </w:r>
    </w:p>
    <w:p w:rsidR="00E969C2" w:rsidRDefault="00E969C2">
      <w:pPr>
        <w:ind w:firstLineChars="200" w:firstLine="640"/>
        <w:jc w:val="left"/>
        <w:rPr>
          <w:rFonts w:ascii="仿宋_GB2312"/>
          <w:szCs w:val="32"/>
        </w:rPr>
      </w:pPr>
      <w:r>
        <w:rPr>
          <w:rFonts w:ascii="仿宋_GB2312" w:hint="eastAsia"/>
          <w:szCs w:val="32"/>
        </w:rPr>
        <w:t>（1）以国家级项目申报、横向项目合作为重点，全面提升学校科技创新能力和服务地方经济社会发展能力。以高层次人才为关键点，紧抓国家级项目</w:t>
      </w:r>
      <w:proofErr w:type="gramStart"/>
      <w:r>
        <w:rPr>
          <w:rFonts w:ascii="仿宋_GB2312" w:hint="eastAsia"/>
          <w:szCs w:val="32"/>
        </w:rPr>
        <w:t>申报全</w:t>
      </w:r>
      <w:proofErr w:type="gramEnd"/>
      <w:r>
        <w:rPr>
          <w:rFonts w:ascii="仿宋_GB2312" w:hint="eastAsia"/>
          <w:szCs w:val="32"/>
        </w:rPr>
        <w:t>过程；与企业共建平台，共建团队，共同申报重大科技</w:t>
      </w:r>
      <w:proofErr w:type="gramStart"/>
      <w:r>
        <w:rPr>
          <w:rFonts w:ascii="仿宋_GB2312" w:hint="eastAsia"/>
          <w:szCs w:val="32"/>
        </w:rPr>
        <w:t>专项等</w:t>
      </w:r>
      <w:proofErr w:type="gramEnd"/>
      <w:r>
        <w:rPr>
          <w:rFonts w:ascii="仿宋_GB2312" w:hint="eastAsia"/>
          <w:szCs w:val="32"/>
        </w:rPr>
        <w:t>紧密契合区域经济社会发展需求的高级别项目，共同产出紧密连接地方产业链的原创性成果。项目申报与实施过程推行校院两级管理模式，在平台建设、经费使用等方面，给予更大的自主权。</w:t>
      </w:r>
    </w:p>
    <w:p w:rsidR="00E969C2" w:rsidRDefault="00E969C2">
      <w:pPr>
        <w:ind w:firstLineChars="200" w:firstLine="640"/>
        <w:jc w:val="left"/>
        <w:rPr>
          <w:rFonts w:ascii="仿宋_GB2312"/>
          <w:szCs w:val="32"/>
        </w:rPr>
      </w:pPr>
      <w:r>
        <w:rPr>
          <w:rFonts w:ascii="仿宋_GB2312" w:hint="eastAsia"/>
          <w:szCs w:val="32"/>
        </w:rPr>
        <w:t>（2）依据专业或专业方向实际，凝练学科方向。围绕专业或专业方向凝练学科方向，巩固专业发展根基，增强专业发展生命力，依托优势专业，建设优势学科，促进学科专业协调、交叉发展；以医学为主体开展学科专业群建设，从平台建设、队伍建设和经费支持等方面给予大力支持；加大校企合作，重视与企业在生物与医药领域的研发力度；学校大力支持在新型学科、交叉学科中探寻学科增长点，产出创新性成果。</w:t>
      </w:r>
    </w:p>
    <w:p w:rsidR="00E969C2" w:rsidRDefault="00E969C2">
      <w:pPr>
        <w:ind w:firstLineChars="200" w:firstLine="640"/>
        <w:jc w:val="left"/>
        <w:rPr>
          <w:rFonts w:ascii="仿宋_GB2312"/>
          <w:szCs w:val="32"/>
        </w:rPr>
      </w:pPr>
      <w:r>
        <w:rPr>
          <w:rFonts w:ascii="仿宋_GB2312" w:hint="eastAsia"/>
          <w:szCs w:val="32"/>
        </w:rPr>
        <w:t>（3）以高质量科研成果为导向，加强科研奖励力度。坚持考核与奖励并举；修订和完善各类科研管理办法，尤其加强科研项目和科研成果的管理，规范科研经费的使用；制定突出创新导向、横向合作导向的科技评价办法，完善分类评价标准，基础研究突出同行学术评价，应用研究突出市场评价，哲学社会科学研究突出社会评价。</w:t>
      </w:r>
    </w:p>
    <w:p w:rsidR="00E969C2" w:rsidRDefault="00E969C2">
      <w:pPr>
        <w:ind w:firstLineChars="200" w:firstLine="640"/>
        <w:jc w:val="left"/>
        <w:rPr>
          <w:rFonts w:ascii="仿宋_GB2312"/>
          <w:szCs w:val="32"/>
        </w:rPr>
      </w:pPr>
      <w:r>
        <w:rPr>
          <w:rFonts w:ascii="仿宋_GB2312" w:hint="eastAsia"/>
          <w:szCs w:val="32"/>
        </w:rPr>
        <w:t>（4）规范学术行为，严防学术不端。实</w:t>
      </w:r>
      <w:proofErr w:type="gramStart"/>
      <w:r>
        <w:rPr>
          <w:rFonts w:ascii="仿宋_GB2312" w:hint="eastAsia"/>
          <w:szCs w:val="32"/>
        </w:rPr>
        <w:t>行院系</w:t>
      </w:r>
      <w:proofErr w:type="gramEnd"/>
      <w:r>
        <w:rPr>
          <w:rFonts w:ascii="仿宋_GB2312" w:hint="eastAsia"/>
          <w:szCs w:val="32"/>
        </w:rPr>
        <w:t>负责人和团队负责人负责制，坚守学术道德，抵制学术不端行为。对学术不端行为“零容忍”，设置不端行为底线，对触犯底线者在职称评聘、评优评先及人事聘任等活动中实行一票否决制。</w:t>
      </w:r>
    </w:p>
    <w:p w:rsidR="00E969C2" w:rsidRPr="007C0AEB" w:rsidRDefault="00E969C2" w:rsidP="007C0AEB">
      <w:pPr>
        <w:numPr>
          <w:ilvl w:val="0"/>
          <w:numId w:val="1"/>
        </w:numPr>
        <w:ind w:firstLineChars="200" w:firstLine="640"/>
        <w:jc w:val="left"/>
        <w:rPr>
          <w:rFonts w:ascii="楷体_GB2312" w:eastAsia="楷体_GB2312"/>
          <w:szCs w:val="32"/>
        </w:rPr>
      </w:pPr>
      <w:r w:rsidRPr="007C0AEB">
        <w:rPr>
          <w:rFonts w:ascii="楷体_GB2312" w:eastAsia="楷体_GB2312" w:hint="eastAsia"/>
          <w:szCs w:val="32"/>
        </w:rPr>
        <w:t>平台建设</w:t>
      </w:r>
    </w:p>
    <w:p w:rsidR="00E969C2" w:rsidRPr="007C0AEB" w:rsidRDefault="00E969C2">
      <w:pPr>
        <w:ind w:left="643"/>
        <w:jc w:val="left"/>
        <w:rPr>
          <w:rFonts w:ascii="仿宋_GB2312"/>
          <w:szCs w:val="32"/>
        </w:rPr>
      </w:pPr>
      <w:r w:rsidRPr="007C0AEB">
        <w:rPr>
          <w:rFonts w:ascii="仿宋_GB2312" w:hint="eastAsia"/>
          <w:szCs w:val="32"/>
        </w:rPr>
        <w:t>1.重点任务</w:t>
      </w:r>
    </w:p>
    <w:p w:rsidR="00E969C2" w:rsidRDefault="00E969C2">
      <w:pPr>
        <w:ind w:firstLineChars="200" w:firstLine="640"/>
        <w:jc w:val="left"/>
        <w:rPr>
          <w:rFonts w:ascii="仿宋_GB2312" w:hAnsi="Calibri"/>
          <w:szCs w:val="32"/>
        </w:rPr>
      </w:pPr>
      <w:r>
        <w:rPr>
          <w:rFonts w:ascii="仿宋_GB2312" w:hint="eastAsia"/>
          <w:szCs w:val="32"/>
        </w:rPr>
        <w:t>到</w:t>
      </w:r>
      <w:r>
        <w:rPr>
          <w:rFonts w:ascii="仿宋_GB2312" w:hAnsi="Calibri" w:hint="eastAsia"/>
          <w:szCs w:val="32"/>
        </w:rPr>
        <w:t>2020年，“生物与医药”</w:t>
      </w:r>
      <w:proofErr w:type="gramStart"/>
      <w:r>
        <w:rPr>
          <w:rFonts w:ascii="仿宋_GB2312" w:hint="eastAsia"/>
          <w:szCs w:val="32"/>
        </w:rPr>
        <w:t>学科群</w:t>
      </w:r>
      <w:r>
        <w:rPr>
          <w:rFonts w:ascii="仿宋_GB2312" w:hAnsi="Calibri" w:hint="eastAsia"/>
          <w:szCs w:val="32"/>
        </w:rPr>
        <w:t>获批</w:t>
      </w:r>
      <w:proofErr w:type="gramEnd"/>
      <w:r>
        <w:rPr>
          <w:rFonts w:ascii="仿宋_GB2312" w:hAnsi="Calibri" w:hint="eastAsia"/>
          <w:szCs w:val="32"/>
        </w:rPr>
        <w:t xml:space="preserve">1项（含）以上省级重点实验室或工程技术研究中心或工程实验室（中心）；获批2项（含）以上地厅级重点实验室或工程技术研究中心或工程实验室（中心）；至少有 2 </w:t>
      </w:r>
      <w:proofErr w:type="gramStart"/>
      <w:r>
        <w:rPr>
          <w:rFonts w:ascii="仿宋_GB2312" w:hAnsi="Calibri" w:hint="eastAsia"/>
          <w:szCs w:val="32"/>
        </w:rPr>
        <w:t>个</w:t>
      </w:r>
      <w:proofErr w:type="gramEnd"/>
      <w:r>
        <w:rPr>
          <w:rFonts w:ascii="仿宋_GB2312" w:hAnsi="Calibri" w:hint="eastAsia"/>
          <w:szCs w:val="32"/>
        </w:rPr>
        <w:t>职责明确、长期稳定的联合培养基地；有满足专业实践教学、培养专业实践能力所需的场地和设施，能够为专业学位硕士研究生培养提供条件。</w:t>
      </w:r>
    </w:p>
    <w:p w:rsidR="00E969C2" w:rsidRPr="00351CEF" w:rsidRDefault="00E969C2" w:rsidP="00351CEF">
      <w:pPr>
        <w:ind w:firstLineChars="200" w:firstLine="640"/>
        <w:jc w:val="left"/>
        <w:rPr>
          <w:rFonts w:ascii="仿宋_GB2312"/>
          <w:bCs/>
          <w:szCs w:val="32"/>
        </w:rPr>
      </w:pPr>
      <w:r w:rsidRPr="00351CEF">
        <w:rPr>
          <w:rFonts w:ascii="仿宋_GB2312" w:hint="eastAsia"/>
          <w:bCs/>
          <w:szCs w:val="32"/>
        </w:rPr>
        <w:t>到</w:t>
      </w:r>
      <w:r w:rsidRPr="00351CEF">
        <w:rPr>
          <w:rFonts w:ascii="仿宋_GB2312" w:hAnsi="Calibri" w:hint="eastAsia"/>
          <w:bCs/>
          <w:szCs w:val="32"/>
        </w:rPr>
        <w:t>2020年，</w:t>
      </w:r>
      <w:r w:rsidRPr="00351CEF">
        <w:rPr>
          <w:rFonts w:ascii="仿宋_GB2312" w:hint="eastAsia"/>
          <w:bCs/>
          <w:szCs w:val="32"/>
        </w:rPr>
        <w:t>“健康管理”学科群建设健康研究院，服务专业人才培养、专业建设，引领应用型健康服务领域科研导向，力争成为省内健康服务机构和产业集团的智囊与外脑，发挥咨询与参谋功能；力争获批1项</w:t>
      </w:r>
      <w:r w:rsidRPr="00351CEF">
        <w:rPr>
          <w:rFonts w:ascii="仿宋_GB2312" w:hAnsi="Calibri" w:hint="eastAsia"/>
          <w:bCs/>
          <w:szCs w:val="32"/>
        </w:rPr>
        <w:t>（含）以上地厅级人文社科（软科学）研究（培育）基地。</w:t>
      </w:r>
    </w:p>
    <w:p w:rsidR="00E969C2" w:rsidRDefault="00E969C2">
      <w:pPr>
        <w:ind w:firstLineChars="200" w:firstLine="640"/>
        <w:jc w:val="left"/>
        <w:rPr>
          <w:rFonts w:ascii="仿宋_GB2312" w:hAnsi="Calibri"/>
          <w:szCs w:val="32"/>
        </w:rPr>
      </w:pPr>
      <w:r>
        <w:rPr>
          <w:rFonts w:ascii="仿宋_GB2312" w:hint="eastAsia"/>
          <w:szCs w:val="32"/>
        </w:rPr>
        <w:t>到</w:t>
      </w:r>
      <w:r>
        <w:rPr>
          <w:rFonts w:ascii="仿宋_GB2312" w:hAnsi="Calibri" w:hint="eastAsia"/>
          <w:szCs w:val="32"/>
        </w:rPr>
        <w:t>2020年，</w:t>
      </w:r>
      <w:r>
        <w:rPr>
          <w:rFonts w:ascii="仿宋_GB2312" w:hint="eastAsia"/>
          <w:szCs w:val="32"/>
        </w:rPr>
        <w:t>“医学技术”</w:t>
      </w:r>
      <w:proofErr w:type="gramStart"/>
      <w:r>
        <w:rPr>
          <w:rFonts w:ascii="仿宋_GB2312" w:hint="eastAsia"/>
          <w:szCs w:val="32"/>
        </w:rPr>
        <w:t>学科群</w:t>
      </w:r>
      <w:r>
        <w:rPr>
          <w:rFonts w:ascii="仿宋_GB2312" w:hAnsi="Calibri" w:hint="eastAsia"/>
          <w:szCs w:val="32"/>
        </w:rPr>
        <w:t>获批</w:t>
      </w:r>
      <w:proofErr w:type="gramEnd"/>
      <w:r>
        <w:rPr>
          <w:rFonts w:ascii="仿宋_GB2312" w:hAnsi="Calibri" w:hint="eastAsia"/>
          <w:szCs w:val="32"/>
        </w:rPr>
        <w:t>2项（含）以上市级重点实验室或工程技术研究中心或工程实验室（中心）；积极推进直属附属医院建设工作；有满足学生医学技术实践需要的三级甲等以上教学医院。</w:t>
      </w:r>
    </w:p>
    <w:p w:rsidR="00E969C2" w:rsidRDefault="00E969C2">
      <w:pPr>
        <w:ind w:firstLineChars="200" w:firstLine="640"/>
        <w:jc w:val="left"/>
        <w:rPr>
          <w:rFonts w:ascii="仿宋_GB2312" w:hAnsi="Calibri"/>
          <w:szCs w:val="32"/>
        </w:rPr>
      </w:pPr>
      <w:r>
        <w:rPr>
          <w:rFonts w:ascii="仿宋_GB2312" w:hAnsi="Calibri" w:hint="eastAsia"/>
          <w:szCs w:val="32"/>
        </w:rPr>
        <w:t>到2020年，“医疗服务”</w:t>
      </w:r>
      <w:proofErr w:type="gramStart"/>
      <w:r>
        <w:rPr>
          <w:rFonts w:ascii="仿宋_GB2312" w:hAnsi="Calibri" w:hint="eastAsia"/>
          <w:szCs w:val="32"/>
        </w:rPr>
        <w:t>学科群获批</w:t>
      </w:r>
      <w:proofErr w:type="gramEnd"/>
      <w:r>
        <w:rPr>
          <w:rFonts w:ascii="仿宋_GB2312" w:hAnsi="Calibri" w:hint="eastAsia"/>
          <w:szCs w:val="32"/>
        </w:rPr>
        <w:t>1项（含）以上市级平台；积极推进直属附属医院建设工作；积极推进住院医师规范化培训基地建设工作。</w:t>
      </w:r>
    </w:p>
    <w:p w:rsidR="00E969C2" w:rsidRPr="007C0AEB" w:rsidRDefault="00E969C2" w:rsidP="007C0AEB">
      <w:pPr>
        <w:ind w:firstLineChars="200" w:firstLine="640"/>
        <w:jc w:val="left"/>
        <w:rPr>
          <w:rFonts w:ascii="仿宋_GB2312"/>
          <w:szCs w:val="32"/>
        </w:rPr>
      </w:pPr>
      <w:r w:rsidRPr="007C0AEB">
        <w:rPr>
          <w:rFonts w:ascii="仿宋_GB2312" w:hint="eastAsia"/>
          <w:szCs w:val="32"/>
        </w:rPr>
        <w:t>2.主要举措</w:t>
      </w:r>
    </w:p>
    <w:p w:rsidR="00E969C2" w:rsidRPr="00085C81" w:rsidRDefault="00E969C2">
      <w:pPr>
        <w:pStyle w:val="a8"/>
        <w:shd w:val="clear" w:color="auto" w:fill="FFFFFF"/>
        <w:spacing w:before="0" w:beforeAutospacing="0" w:after="0" w:afterAutospacing="0"/>
        <w:ind w:firstLineChars="200" w:firstLine="640"/>
        <w:rPr>
          <w:rFonts w:ascii="仿宋_GB2312" w:eastAsia="仿宋_GB2312" w:hAnsiTheme="minorHAnsi" w:cstheme="minorBidi"/>
          <w:color w:val="FF0000"/>
          <w:sz w:val="32"/>
          <w:szCs w:val="32"/>
        </w:rPr>
      </w:pPr>
      <w:r>
        <w:rPr>
          <w:rFonts w:ascii="仿宋_GB2312" w:eastAsia="仿宋_GB2312" w:hint="eastAsia"/>
          <w:sz w:val="32"/>
          <w:szCs w:val="32"/>
        </w:rPr>
        <w:t>（1）</w:t>
      </w:r>
      <w:r>
        <w:rPr>
          <w:rFonts w:ascii="仿宋_GB2312" w:eastAsia="仿宋_GB2312" w:hAnsiTheme="minorHAnsi" w:cstheme="minorBidi" w:hint="eastAsia"/>
          <w:sz w:val="32"/>
          <w:szCs w:val="32"/>
        </w:rPr>
        <w:t>整合专业教学资源，构建学科专业一体化研究平台。围绕学科专业方向设立研究所（中心）、建设重点实验室和工程（技术）研究中心、使学科建设条件与专业建设条件互相兼顾，提高资源利用率；教学平台与科研平台相互支撑、相互依托、共用共享，促使科研成果能够及时转化为教学资源，以高水平科学研究支撑高质量本科人才培养。</w:t>
      </w:r>
    </w:p>
    <w:p w:rsidR="00E969C2" w:rsidRDefault="00E969C2">
      <w:pPr>
        <w:ind w:firstLineChars="200" w:firstLine="640"/>
        <w:jc w:val="left"/>
        <w:rPr>
          <w:rFonts w:ascii="仿宋_GB2312"/>
          <w:szCs w:val="32"/>
        </w:rPr>
      </w:pPr>
      <w:r>
        <w:rPr>
          <w:rFonts w:ascii="仿宋_GB2312" w:hint="eastAsia"/>
          <w:szCs w:val="32"/>
        </w:rPr>
        <w:t>（2）强化科研平台硬件建设。结合学校学科专业建设实际需要，在现有科研平台基础上，加大高端设备投入力度，重点购置活细胞工作站、流式细胞仪、精子分析仪等一批能够满足学校前沿科学研究的仪器设备，建立满足广大师生教、学、</w:t>
      </w:r>
      <w:proofErr w:type="gramStart"/>
      <w:r>
        <w:rPr>
          <w:rFonts w:ascii="仿宋_GB2312" w:hint="eastAsia"/>
          <w:szCs w:val="32"/>
        </w:rPr>
        <w:t>研</w:t>
      </w:r>
      <w:proofErr w:type="gramEnd"/>
      <w:r>
        <w:rPr>
          <w:rFonts w:ascii="仿宋_GB2312" w:hint="eastAsia"/>
          <w:szCs w:val="32"/>
        </w:rPr>
        <w:t>等要求的现代化、专业化共享平台，为学科交叉发展和吸引高端人才提供强有力保障。</w:t>
      </w:r>
    </w:p>
    <w:p w:rsidR="00E969C2" w:rsidRDefault="00E969C2">
      <w:pPr>
        <w:ind w:firstLineChars="200" w:firstLine="640"/>
        <w:jc w:val="left"/>
        <w:rPr>
          <w:rFonts w:ascii="仿宋_GB2312"/>
          <w:szCs w:val="32"/>
        </w:rPr>
      </w:pPr>
      <w:r>
        <w:rPr>
          <w:rFonts w:ascii="仿宋_GB2312" w:hint="eastAsia"/>
          <w:szCs w:val="32"/>
        </w:rPr>
        <w:t>（3）加大平台专业人员队伍培养。根据学科发展和科研平台建设需要，着力培养一批专业技术人才队伍，保障实验室安全，提高设备利用率；实行大型仪器“一对一”专人负责制；加强人员培训，制定岗位职责，保证仪器设备的正常运转，满足教学科研活动需要。</w:t>
      </w:r>
    </w:p>
    <w:p w:rsidR="00E969C2" w:rsidRDefault="00E969C2">
      <w:pPr>
        <w:ind w:firstLineChars="200" w:firstLine="640"/>
        <w:jc w:val="left"/>
        <w:rPr>
          <w:rFonts w:ascii="仿宋_GB2312"/>
          <w:szCs w:val="32"/>
        </w:rPr>
      </w:pPr>
      <w:r>
        <w:rPr>
          <w:rFonts w:ascii="仿宋_GB2312" w:hint="eastAsia"/>
          <w:szCs w:val="32"/>
        </w:rPr>
        <w:t>（4）实施平台提升计划。建立“国家级—省级—市级—校级”四级式平台建设模式。一是瞄准区域经济发展需求确立平台建设方向；二是对省级及以上科研平台进行奖励，配备建设经费；三是进行动态管理，优胜劣汰，凡年度考核不达标的，取消相关支持。</w:t>
      </w:r>
    </w:p>
    <w:p w:rsidR="00E969C2" w:rsidRPr="007C0AEB" w:rsidRDefault="00E969C2" w:rsidP="007C0AEB">
      <w:pPr>
        <w:ind w:firstLineChars="200" w:firstLine="640"/>
        <w:jc w:val="left"/>
        <w:rPr>
          <w:rFonts w:ascii="黑体" w:eastAsia="黑体"/>
          <w:szCs w:val="32"/>
        </w:rPr>
      </w:pPr>
      <w:r w:rsidRPr="007C0AEB">
        <w:rPr>
          <w:rFonts w:ascii="黑体" w:eastAsia="黑体" w:hint="eastAsia"/>
          <w:szCs w:val="32"/>
        </w:rPr>
        <w:t>五、保障措施</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（一）加强组织领导</w:t>
      </w:r>
    </w:p>
    <w:p w:rsidR="00E969C2" w:rsidRDefault="00E969C2">
      <w:pPr>
        <w:ind w:firstLineChars="200" w:firstLine="640"/>
        <w:jc w:val="left"/>
        <w:rPr>
          <w:rFonts w:ascii="仿宋_GB2312"/>
          <w:szCs w:val="32"/>
        </w:rPr>
      </w:pPr>
      <w:r>
        <w:rPr>
          <w:rFonts w:ascii="仿宋_GB2312" w:hint="eastAsia"/>
          <w:szCs w:val="32"/>
        </w:rPr>
        <w:t>成立学科专业一体化建设领导小组，由校长担任领导小组组长，领导小组办公室设在科研部，统一管理和协同学校的学科和专业建设工作。充分发挥学术委员会的学术权力作用，在学科方向凝练、学科队伍建设、重大研究课题确定与评估等方面充分发挥学术委员会的职能。</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（二）加大资金投入</w:t>
      </w:r>
    </w:p>
    <w:p w:rsidR="00E969C2" w:rsidRDefault="00E969C2">
      <w:pPr>
        <w:ind w:firstLineChars="200" w:firstLine="640"/>
        <w:jc w:val="left"/>
        <w:rPr>
          <w:rFonts w:ascii="仿宋_GB2312"/>
          <w:szCs w:val="32"/>
        </w:rPr>
      </w:pPr>
      <w:r>
        <w:rPr>
          <w:rFonts w:ascii="仿宋_GB2312" w:hint="eastAsia"/>
          <w:szCs w:val="32"/>
        </w:rPr>
        <w:t>设立校内基金支持学科建设，积极争取外部资源，争取若干学科专业获得中央或省财政支持。鼓励各学科和平台充分利用自身优势为社会服务，吸引社会资金参与平台建设，逐步形成以政府、学校和社会共同参建的开放式、多元化投入机制。</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（三）实施人才制度保障</w:t>
      </w:r>
    </w:p>
    <w:p w:rsidR="00E969C2" w:rsidRDefault="00E969C2" w:rsidP="007D2B4B">
      <w:pPr>
        <w:pStyle w:val="Style2"/>
        <w:spacing w:line="360" w:lineRule="auto"/>
        <w:ind w:firstLine="640"/>
        <w:rPr>
          <w:rFonts w:ascii="仿宋_GB2312" w:eastAsia="仿宋_GB2312" w:hAnsi="仿宋_GB2312" w:cs="仿宋_GB2312"/>
          <w:szCs w:val="32"/>
        </w:rPr>
      </w:pPr>
      <w:r>
        <w:rPr>
          <w:rFonts w:ascii="仿宋_GB2312" w:eastAsia="仿宋_GB2312" w:hAnsi="仿宋_GB2312" w:cs="仿宋_GB2312" w:hint="eastAsia"/>
          <w:szCs w:val="32"/>
        </w:rPr>
        <w:t>人才是第一资源。健全人才评价、流动、激励机制，充分发挥用人主体在人才引进、使用和培养中的主导作用，优化人才成长环境，建立产教融合、校企合作的“双师型”人才培养模式，促进青年优秀人才脱颖而出，确保优秀人才引得进、留得住、流得动、用得好。</w:t>
      </w:r>
    </w:p>
    <w:p w:rsidR="00E969C2" w:rsidRPr="007C0AEB" w:rsidRDefault="00E969C2" w:rsidP="007C0AEB">
      <w:pPr>
        <w:ind w:firstLineChars="200" w:firstLine="640"/>
        <w:jc w:val="left"/>
        <w:rPr>
          <w:rFonts w:ascii="楷体_GB2312" w:eastAsia="楷体_GB2312"/>
          <w:szCs w:val="32"/>
        </w:rPr>
      </w:pPr>
      <w:r w:rsidRPr="007C0AEB">
        <w:rPr>
          <w:rFonts w:ascii="楷体_GB2312" w:eastAsia="楷体_GB2312" w:hint="eastAsia"/>
          <w:szCs w:val="32"/>
        </w:rPr>
        <w:t>（四）建立健全学科评估机制</w:t>
      </w:r>
    </w:p>
    <w:p w:rsidR="00E969C2" w:rsidRDefault="00E969C2">
      <w:pPr>
        <w:ind w:firstLineChars="200" w:firstLine="640"/>
        <w:jc w:val="left"/>
        <w:rPr>
          <w:rFonts w:ascii="仿宋_GB2312"/>
          <w:szCs w:val="32"/>
        </w:rPr>
      </w:pPr>
      <w:r>
        <w:rPr>
          <w:rFonts w:ascii="仿宋_GB2312" w:hint="eastAsia"/>
          <w:szCs w:val="32"/>
        </w:rPr>
        <w:t>建立和完善学科质量评估机制，加强过程评估；建立学科（群）建设信息年报机制，促进学科专业一体化建设健康发展。</w:t>
      </w:r>
    </w:p>
    <w:p w:rsidR="00254C2C" w:rsidRDefault="00254C2C" w:rsidP="007E6CA4">
      <w:pPr>
        <w:adjustRightInd w:val="0"/>
        <w:snapToGrid w:val="0"/>
        <w:spacing w:line="360" w:lineRule="auto"/>
        <w:ind w:firstLineChars="200" w:firstLine="640"/>
      </w:pPr>
    </w:p>
    <w:p w:rsidR="00254C2C" w:rsidRPr="00254C2C" w:rsidRDefault="00254C2C" w:rsidP="00254C2C"/>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tabs>
          <w:tab w:val="left" w:pos="7065"/>
        </w:tabs>
        <w:snapToGrid w:val="0"/>
      </w:pPr>
      <w:r>
        <w:tab/>
      </w:r>
    </w:p>
    <w:p w:rsidR="00254C2C" w:rsidRPr="00254C2C" w:rsidRDefault="00254C2C" w:rsidP="005E6BE1">
      <w:pPr>
        <w:snapToGrid w:val="0"/>
      </w:pPr>
    </w:p>
    <w:p w:rsidR="00254C2C" w:rsidRPr="00254C2C" w:rsidRDefault="00254C2C" w:rsidP="005E6BE1">
      <w:pPr>
        <w:snapToGrid w:val="0"/>
      </w:pPr>
    </w:p>
    <w:p w:rsidR="00254C2C" w:rsidRPr="00254C2C" w:rsidRDefault="00254C2C" w:rsidP="005E6BE1">
      <w:pPr>
        <w:snapToGrid w:val="0"/>
      </w:pPr>
    </w:p>
    <w:p w:rsidR="00254C2C" w:rsidRDefault="00254C2C" w:rsidP="005E6BE1">
      <w:pPr>
        <w:snapToGrid w:val="0"/>
      </w:pPr>
    </w:p>
    <w:p w:rsidR="00E969C2" w:rsidRDefault="00E969C2"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E969C2" w:rsidRDefault="00E969C2" w:rsidP="005E6BE1">
      <w:pPr>
        <w:snapToGrid w:val="0"/>
      </w:pPr>
    </w:p>
    <w:p w:rsidR="00E969C2" w:rsidRDefault="00E969C2"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5E6BE1" w:rsidRDefault="005E6BE1" w:rsidP="005E6BE1">
      <w:pPr>
        <w:snapToGrid w:val="0"/>
      </w:pPr>
    </w:p>
    <w:p w:rsidR="00E969C2" w:rsidRPr="00254C2C" w:rsidRDefault="00E969C2" w:rsidP="005E6BE1">
      <w:pPr>
        <w:snapToGrid w:val="0"/>
      </w:pPr>
    </w:p>
    <w:tbl>
      <w:tblPr>
        <w:tblpPr w:leftFromText="180" w:rightFromText="180" w:vertAnchor="text" w:horzAnchor="margin" w:tblpXSpec="center" w:tblpY="118"/>
        <w:tblW w:w="0" w:type="auto"/>
        <w:tblBorders>
          <w:top w:val="single" w:sz="12" w:space="0" w:color="auto"/>
          <w:bottom w:val="single" w:sz="12" w:space="0" w:color="auto"/>
        </w:tblBorders>
        <w:tblLayout w:type="fixed"/>
        <w:tblLook w:val="04A0" w:firstRow="1" w:lastRow="0" w:firstColumn="1" w:lastColumn="0" w:noHBand="0" w:noVBand="1"/>
      </w:tblPr>
      <w:tblGrid>
        <w:gridCol w:w="8872"/>
      </w:tblGrid>
      <w:tr w:rsidR="00E969C2" w:rsidRPr="00E65875" w:rsidTr="008F0884">
        <w:tc>
          <w:tcPr>
            <w:tcW w:w="8872" w:type="dxa"/>
            <w:tcBorders>
              <w:top w:val="single" w:sz="12" w:space="0" w:color="auto"/>
              <w:left w:val="nil"/>
              <w:bottom w:val="single" w:sz="12" w:space="0" w:color="auto"/>
              <w:right w:val="nil"/>
            </w:tcBorders>
            <w:hideMark/>
          </w:tcPr>
          <w:p w:rsidR="00E969C2" w:rsidRPr="00E65875" w:rsidRDefault="00E969C2" w:rsidP="008F0884">
            <w:pPr>
              <w:snapToGrid w:val="0"/>
              <w:spacing w:line="579" w:lineRule="exact"/>
              <w:ind w:rightChars="-80" w:right="-256" w:firstLineChars="100" w:firstLine="280"/>
              <w:rPr>
                <w:rFonts w:ascii="仿宋_GB2312" w:hAnsi="宋体"/>
                <w:szCs w:val="20"/>
              </w:rPr>
            </w:pPr>
            <w:r w:rsidRPr="00E65875">
              <w:rPr>
                <w:rFonts w:ascii="仿宋_GB2312" w:hAnsi="宋体" w:hint="eastAsia"/>
                <w:sz w:val="28"/>
                <w:szCs w:val="28"/>
              </w:rPr>
              <w:t>新乡医学院三全学院院长办公室          2018年</w:t>
            </w:r>
            <w:r>
              <w:rPr>
                <w:rFonts w:ascii="仿宋_GB2312" w:hAnsi="宋体" w:hint="eastAsia"/>
                <w:sz w:val="28"/>
                <w:szCs w:val="28"/>
              </w:rPr>
              <w:t>11</w:t>
            </w:r>
            <w:r w:rsidRPr="00E65875">
              <w:rPr>
                <w:rFonts w:ascii="仿宋_GB2312" w:hAnsi="宋体" w:hint="eastAsia"/>
                <w:sz w:val="28"/>
                <w:szCs w:val="28"/>
              </w:rPr>
              <w:t>月</w:t>
            </w:r>
            <w:r>
              <w:rPr>
                <w:rFonts w:ascii="仿宋_GB2312" w:hAnsi="宋体" w:hint="eastAsia"/>
                <w:sz w:val="28"/>
                <w:szCs w:val="28"/>
              </w:rPr>
              <w:t>5</w:t>
            </w:r>
            <w:r w:rsidRPr="00E65875">
              <w:rPr>
                <w:rFonts w:ascii="仿宋_GB2312" w:hAnsi="宋体" w:hint="eastAsia"/>
                <w:sz w:val="28"/>
                <w:szCs w:val="28"/>
              </w:rPr>
              <w:t>日印发</w:t>
            </w:r>
          </w:p>
        </w:tc>
      </w:tr>
    </w:tbl>
    <w:p w:rsidR="00254C2C" w:rsidRPr="00E969C2" w:rsidRDefault="00254C2C" w:rsidP="00E969C2">
      <w:pPr>
        <w:snapToGrid w:val="0"/>
        <w:spacing w:line="20" w:lineRule="exact"/>
      </w:pPr>
    </w:p>
    <w:sectPr w:rsidR="00254C2C" w:rsidRPr="00E969C2" w:rsidSect="00A122FC">
      <w:headerReference w:type="default" r:id="rId8"/>
      <w:footerReference w:type="even" r:id="rId9"/>
      <w:footerReference w:type="default" r:id="rId10"/>
      <w:pgSz w:w="11906" w:h="16838" w:code="9"/>
      <w:pgMar w:top="2098" w:right="1440" w:bottom="158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44" w:rsidRDefault="007E2D44">
      <w:r>
        <w:separator/>
      </w:r>
    </w:p>
  </w:endnote>
  <w:endnote w:type="continuationSeparator" w:id="0">
    <w:p w:rsidR="007E2D44" w:rsidRDefault="007E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1C" w:rsidRDefault="00A122FC" w:rsidP="00541EBC">
    <w:pPr>
      <w:pStyle w:val="a4"/>
      <w:ind w:firstLineChars="100" w:firstLine="280"/>
    </w:pPr>
    <w:r w:rsidRPr="00A122FC">
      <w:rPr>
        <w:rFonts w:ascii="宋体" w:eastAsia="宋体" w:hAnsi="宋体"/>
        <w:sz w:val="28"/>
        <w:szCs w:val="28"/>
      </w:rPr>
      <w:fldChar w:fldCharType="begin"/>
    </w:r>
    <w:r w:rsidRPr="00A122FC">
      <w:rPr>
        <w:rFonts w:ascii="宋体" w:eastAsia="宋体" w:hAnsi="宋体"/>
        <w:sz w:val="28"/>
        <w:szCs w:val="28"/>
      </w:rPr>
      <w:instrText>PAGE   \* MERGEFORMAT</w:instrText>
    </w:r>
    <w:r w:rsidRPr="00A122FC">
      <w:rPr>
        <w:rFonts w:ascii="宋体" w:eastAsia="宋体" w:hAnsi="宋体"/>
        <w:sz w:val="28"/>
        <w:szCs w:val="28"/>
      </w:rPr>
      <w:fldChar w:fldCharType="separate"/>
    </w:r>
    <w:r w:rsidR="00B01AF3" w:rsidRPr="00B01AF3">
      <w:rPr>
        <w:rFonts w:ascii="宋体" w:eastAsia="宋体" w:hAnsi="宋体"/>
        <w:noProof/>
        <w:sz w:val="28"/>
        <w:szCs w:val="28"/>
        <w:lang w:val="zh-CN"/>
      </w:rPr>
      <w:t>-</w:t>
    </w:r>
    <w:r w:rsidR="00B01AF3">
      <w:rPr>
        <w:rFonts w:ascii="宋体" w:eastAsia="宋体" w:hAnsi="宋体"/>
        <w:noProof/>
        <w:sz w:val="28"/>
        <w:szCs w:val="28"/>
      </w:rPr>
      <w:t xml:space="preserve"> 18 -</w:t>
    </w:r>
    <w:r w:rsidRPr="00A122FC">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FC" w:rsidRPr="00A122FC" w:rsidRDefault="00A122FC" w:rsidP="00A122FC">
    <w:pPr>
      <w:pStyle w:val="a4"/>
      <w:wordWrap w:val="0"/>
      <w:jc w:val="right"/>
      <w:rPr>
        <w:rFonts w:ascii="宋体" w:eastAsia="宋体" w:hAnsi="宋体"/>
        <w:sz w:val="28"/>
        <w:szCs w:val="28"/>
      </w:rPr>
    </w:pPr>
    <w:r w:rsidRPr="00A122FC">
      <w:rPr>
        <w:rFonts w:ascii="宋体" w:eastAsia="宋体" w:hAnsi="宋体"/>
        <w:sz w:val="28"/>
        <w:szCs w:val="28"/>
      </w:rPr>
      <w:fldChar w:fldCharType="begin"/>
    </w:r>
    <w:r w:rsidRPr="00A122FC">
      <w:rPr>
        <w:rFonts w:ascii="宋体" w:eastAsia="宋体" w:hAnsi="宋体"/>
        <w:sz w:val="28"/>
        <w:szCs w:val="28"/>
      </w:rPr>
      <w:instrText>PAGE   \* MERGEFORMAT</w:instrText>
    </w:r>
    <w:r w:rsidRPr="00A122FC">
      <w:rPr>
        <w:rFonts w:ascii="宋体" w:eastAsia="宋体" w:hAnsi="宋体"/>
        <w:sz w:val="28"/>
        <w:szCs w:val="28"/>
      </w:rPr>
      <w:fldChar w:fldCharType="separate"/>
    </w:r>
    <w:r w:rsidR="00B01AF3" w:rsidRPr="00B01AF3">
      <w:rPr>
        <w:rFonts w:ascii="宋体" w:eastAsia="宋体" w:hAnsi="宋体"/>
        <w:noProof/>
        <w:sz w:val="28"/>
        <w:szCs w:val="28"/>
        <w:lang w:val="zh-CN"/>
      </w:rPr>
      <w:t>-</w:t>
    </w:r>
    <w:r w:rsidR="00B01AF3">
      <w:rPr>
        <w:rFonts w:ascii="宋体" w:eastAsia="宋体" w:hAnsi="宋体"/>
        <w:noProof/>
        <w:sz w:val="28"/>
        <w:szCs w:val="28"/>
      </w:rPr>
      <w:t xml:space="preserve"> 1 -</w:t>
    </w:r>
    <w:r w:rsidRPr="00A122FC">
      <w:rPr>
        <w:rFonts w:ascii="宋体" w:eastAsia="宋体" w:hAnsi="宋体"/>
        <w:sz w:val="28"/>
        <w:szCs w:val="28"/>
      </w:rPr>
      <w:fldChar w:fldCharType="end"/>
    </w:r>
    <w:r w:rsidRPr="00A122FC">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44" w:rsidRDefault="007E2D44">
      <w:r>
        <w:separator/>
      </w:r>
    </w:p>
  </w:footnote>
  <w:footnote w:type="continuationSeparator" w:id="0">
    <w:p w:rsidR="007E2D44" w:rsidRDefault="007E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1C" w:rsidRDefault="0059751C" w:rsidP="00C4052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3DBBD"/>
    <w:multiLevelType w:val="singleLevel"/>
    <w:tmpl w:val="B263DBBD"/>
    <w:lvl w:ilvl="0">
      <w:start w:val="2"/>
      <w:numFmt w:val="chineseCounting"/>
      <w:suff w:val="nothing"/>
      <w:lvlText w:val="（%1）"/>
      <w:lvlJc w:val="left"/>
      <w:rPr>
        <w:rFonts w:hint="eastAsia"/>
      </w:rPr>
    </w:lvl>
  </w:abstractNum>
  <w:abstractNum w:abstractNumId="1">
    <w:nsid w:val="44B7285F"/>
    <w:multiLevelType w:val="singleLevel"/>
    <w:tmpl w:val="44B7285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B65"/>
    <w:rsid w:val="00010C05"/>
    <w:rsid w:val="00037668"/>
    <w:rsid w:val="00064126"/>
    <w:rsid w:val="00093711"/>
    <w:rsid w:val="000A6DA5"/>
    <w:rsid w:val="000D7B3F"/>
    <w:rsid w:val="000E11F6"/>
    <w:rsid w:val="000F5387"/>
    <w:rsid w:val="0011625B"/>
    <w:rsid w:val="00141F62"/>
    <w:rsid w:val="001475A5"/>
    <w:rsid w:val="00192072"/>
    <w:rsid w:val="001A0C45"/>
    <w:rsid w:val="001A46AF"/>
    <w:rsid w:val="001C092F"/>
    <w:rsid w:val="001C7878"/>
    <w:rsid w:val="001D6326"/>
    <w:rsid w:val="001E0B0D"/>
    <w:rsid w:val="00206E5F"/>
    <w:rsid w:val="002070A0"/>
    <w:rsid w:val="00234ECF"/>
    <w:rsid w:val="002411A1"/>
    <w:rsid w:val="00242FEC"/>
    <w:rsid w:val="00254C2C"/>
    <w:rsid w:val="00273CD7"/>
    <w:rsid w:val="002B12A0"/>
    <w:rsid w:val="002C5564"/>
    <w:rsid w:val="002E14C7"/>
    <w:rsid w:val="002E24EE"/>
    <w:rsid w:val="00373AEC"/>
    <w:rsid w:val="00373F37"/>
    <w:rsid w:val="003A0E69"/>
    <w:rsid w:val="003C4BE9"/>
    <w:rsid w:val="003D0DD7"/>
    <w:rsid w:val="0043221A"/>
    <w:rsid w:val="004523C9"/>
    <w:rsid w:val="00483C5F"/>
    <w:rsid w:val="004A03DB"/>
    <w:rsid w:val="004A4410"/>
    <w:rsid w:val="004D5C3D"/>
    <w:rsid w:val="00541C6C"/>
    <w:rsid w:val="00541EBC"/>
    <w:rsid w:val="005754D3"/>
    <w:rsid w:val="0058099D"/>
    <w:rsid w:val="0059494D"/>
    <w:rsid w:val="0059751C"/>
    <w:rsid w:val="005B4841"/>
    <w:rsid w:val="005E6BE1"/>
    <w:rsid w:val="005F36F7"/>
    <w:rsid w:val="005F6A26"/>
    <w:rsid w:val="00627251"/>
    <w:rsid w:val="006348C8"/>
    <w:rsid w:val="006358BE"/>
    <w:rsid w:val="006811F3"/>
    <w:rsid w:val="0069225E"/>
    <w:rsid w:val="006A3FC2"/>
    <w:rsid w:val="006B564B"/>
    <w:rsid w:val="00710CC1"/>
    <w:rsid w:val="00746691"/>
    <w:rsid w:val="00746A51"/>
    <w:rsid w:val="00766479"/>
    <w:rsid w:val="0077112C"/>
    <w:rsid w:val="00771B6B"/>
    <w:rsid w:val="00781C65"/>
    <w:rsid w:val="007C3CC0"/>
    <w:rsid w:val="007C651F"/>
    <w:rsid w:val="007D2B4B"/>
    <w:rsid w:val="007E2D44"/>
    <w:rsid w:val="007E6CA4"/>
    <w:rsid w:val="008150DC"/>
    <w:rsid w:val="00831397"/>
    <w:rsid w:val="00844A61"/>
    <w:rsid w:val="0089583E"/>
    <w:rsid w:val="008C6927"/>
    <w:rsid w:val="00932FC0"/>
    <w:rsid w:val="00946F6A"/>
    <w:rsid w:val="009502E7"/>
    <w:rsid w:val="00973625"/>
    <w:rsid w:val="009E6D22"/>
    <w:rsid w:val="00A122FC"/>
    <w:rsid w:val="00A26E2E"/>
    <w:rsid w:val="00A73F8C"/>
    <w:rsid w:val="00AA1C2F"/>
    <w:rsid w:val="00AB27AD"/>
    <w:rsid w:val="00AC2B88"/>
    <w:rsid w:val="00AD51AD"/>
    <w:rsid w:val="00AE5B31"/>
    <w:rsid w:val="00AF2D02"/>
    <w:rsid w:val="00B01AF3"/>
    <w:rsid w:val="00B21716"/>
    <w:rsid w:val="00B8103C"/>
    <w:rsid w:val="00B93A24"/>
    <w:rsid w:val="00BF56FF"/>
    <w:rsid w:val="00BF67BA"/>
    <w:rsid w:val="00C0200B"/>
    <w:rsid w:val="00C17665"/>
    <w:rsid w:val="00C20044"/>
    <w:rsid w:val="00C25575"/>
    <w:rsid w:val="00C40522"/>
    <w:rsid w:val="00C61396"/>
    <w:rsid w:val="00C70917"/>
    <w:rsid w:val="00C80BC3"/>
    <w:rsid w:val="00C82285"/>
    <w:rsid w:val="00C94712"/>
    <w:rsid w:val="00CA238C"/>
    <w:rsid w:val="00CA2A73"/>
    <w:rsid w:val="00CE7030"/>
    <w:rsid w:val="00CF5C52"/>
    <w:rsid w:val="00D329BD"/>
    <w:rsid w:val="00D9299B"/>
    <w:rsid w:val="00DB5B65"/>
    <w:rsid w:val="00DB7FAE"/>
    <w:rsid w:val="00DC1FFC"/>
    <w:rsid w:val="00DE0E1F"/>
    <w:rsid w:val="00E101DE"/>
    <w:rsid w:val="00E22B1D"/>
    <w:rsid w:val="00E969C2"/>
    <w:rsid w:val="00EA63CE"/>
    <w:rsid w:val="00EA736B"/>
    <w:rsid w:val="00EC0841"/>
    <w:rsid w:val="00EF1C3C"/>
    <w:rsid w:val="00F046A0"/>
    <w:rsid w:val="00F2241C"/>
    <w:rsid w:val="00F3469E"/>
    <w:rsid w:val="00F50BCF"/>
    <w:rsid w:val="00F87FF9"/>
    <w:rsid w:val="00FC6873"/>
    <w:rsid w:val="00FD1582"/>
    <w:rsid w:val="00FF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B6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58B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6358BE"/>
    <w:pPr>
      <w:tabs>
        <w:tab w:val="center" w:pos="4153"/>
        <w:tab w:val="right" w:pos="8306"/>
      </w:tabs>
      <w:snapToGrid w:val="0"/>
      <w:jc w:val="left"/>
    </w:pPr>
    <w:rPr>
      <w:sz w:val="18"/>
      <w:szCs w:val="18"/>
    </w:rPr>
  </w:style>
  <w:style w:type="character" w:styleId="a5">
    <w:name w:val="page number"/>
    <w:basedOn w:val="a0"/>
    <w:rsid w:val="00B21716"/>
  </w:style>
  <w:style w:type="paragraph" w:styleId="a6">
    <w:name w:val="Balloon Text"/>
    <w:basedOn w:val="a"/>
    <w:semiHidden/>
    <w:rsid w:val="00E101DE"/>
    <w:rPr>
      <w:sz w:val="18"/>
      <w:szCs w:val="18"/>
    </w:rPr>
  </w:style>
  <w:style w:type="character" w:customStyle="1" w:styleId="Char0">
    <w:name w:val="纯文本 Char"/>
    <w:link w:val="a7"/>
    <w:rsid w:val="006811F3"/>
    <w:rPr>
      <w:rFonts w:ascii="宋体" w:eastAsia="宋体" w:hAnsi="Courier New" w:cs="宋体"/>
      <w:kern w:val="2"/>
      <w:sz w:val="21"/>
      <w:szCs w:val="21"/>
      <w:lang w:val="en-US" w:eastAsia="zh-CN" w:bidi="ar-SA"/>
    </w:rPr>
  </w:style>
  <w:style w:type="paragraph" w:styleId="a7">
    <w:name w:val="Plain Text"/>
    <w:basedOn w:val="a"/>
    <w:link w:val="Char0"/>
    <w:rsid w:val="006811F3"/>
    <w:rPr>
      <w:rFonts w:ascii="宋体" w:eastAsia="宋体" w:hAnsi="Courier New" w:cs="宋体"/>
      <w:sz w:val="21"/>
      <w:szCs w:val="21"/>
    </w:rPr>
  </w:style>
  <w:style w:type="character" w:customStyle="1" w:styleId="Char">
    <w:name w:val="页脚 Char"/>
    <w:link w:val="a4"/>
    <w:uiPriority w:val="99"/>
    <w:rsid w:val="00A122FC"/>
    <w:rPr>
      <w:rFonts w:eastAsia="仿宋_GB2312"/>
      <w:kern w:val="2"/>
      <w:sz w:val="18"/>
      <w:szCs w:val="18"/>
    </w:rPr>
  </w:style>
  <w:style w:type="paragraph" w:styleId="a8">
    <w:name w:val="Normal (Web)"/>
    <w:basedOn w:val="a"/>
    <w:uiPriority w:val="99"/>
    <w:unhideWhenUsed/>
    <w:qFormat/>
    <w:rsid w:val="00E969C2"/>
    <w:pPr>
      <w:widowControl/>
      <w:spacing w:before="100" w:beforeAutospacing="1" w:after="100" w:afterAutospacing="1"/>
      <w:jc w:val="left"/>
    </w:pPr>
    <w:rPr>
      <w:rFonts w:ascii="宋体" w:eastAsia="宋体" w:hAnsi="宋体" w:cs="宋体"/>
      <w:kern w:val="0"/>
      <w:sz w:val="24"/>
    </w:rPr>
  </w:style>
  <w:style w:type="paragraph" w:customStyle="1" w:styleId="Style2">
    <w:name w:val="_Style 2"/>
    <w:basedOn w:val="a"/>
    <w:uiPriority w:val="99"/>
    <w:qFormat/>
    <w:rsid w:val="00E969C2"/>
    <w:pPr>
      <w:ind w:firstLineChars="200" w:firstLine="420"/>
    </w:pPr>
    <w:rPr>
      <w:rFonts w:ascii="Calibri" w:eastAsia="宋体" w:hAnsi="Calibri"/>
    </w:rPr>
  </w:style>
  <w:style w:type="paragraph" w:styleId="a9">
    <w:name w:val="Date"/>
    <w:basedOn w:val="a"/>
    <w:next w:val="a"/>
    <w:link w:val="Char1"/>
    <w:rsid w:val="00E969C2"/>
    <w:pPr>
      <w:ind w:leftChars="2500" w:left="100"/>
    </w:pPr>
  </w:style>
  <w:style w:type="character" w:customStyle="1" w:styleId="Char1">
    <w:name w:val="日期 Char"/>
    <w:basedOn w:val="a0"/>
    <w:link w:val="a9"/>
    <w:rsid w:val="00E969C2"/>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cp:lastModifiedBy>袁会峰</cp:lastModifiedBy>
  <cp:revision>1</cp:revision>
  <cp:lastPrinted>2011-08-18T01:06:00Z</cp:lastPrinted>
  <dcterms:created xsi:type="dcterms:W3CDTF">2018-11-06T02:27:00Z</dcterms:created>
  <dcterms:modified xsi:type="dcterms:W3CDTF">2018-11-06T02:27:00Z</dcterms:modified>
</cp:coreProperties>
</file>